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DA392B" w:rsidP="008F483F" w14:paraId="4A687A71" w14:textId="796146E0">
      <w:r>
        <w:t xml:space="preserve">This portion of our suggestions responds to </w:t>
      </w:r>
      <w:r w:rsidR="00F72626">
        <w:t xml:space="preserve">the </w:t>
      </w:r>
      <w:r>
        <w:t xml:space="preserve">request for recommendations that </w:t>
      </w:r>
      <w:r w:rsidRPr="00A56A42">
        <w:t xml:space="preserve">relate to regulations potentially described in </w:t>
      </w:r>
      <w:r w:rsidR="00043104">
        <w:t xml:space="preserve">Section 2(a) of </w:t>
      </w:r>
      <w:r w:rsidRPr="00A56A42">
        <w:t xml:space="preserve">Executive Order 14219 </w:t>
      </w:r>
      <w:r w:rsidR="00043104">
        <w:t>(</w:t>
      </w:r>
      <w:r w:rsidRPr="00A56A42" w:rsidR="00043104">
        <w:t>90 FR 10583</w:t>
      </w:r>
      <w:r w:rsidR="00043104">
        <w:t>)</w:t>
      </w:r>
      <w:r>
        <w:t xml:space="preserve">, specifically those regulations that </w:t>
      </w:r>
      <w:r w:rsidRPr="00A56A42">
        <w:t>are based on anything other than the best reading of the underlying statutory authority or prohibition</w:t>
      </w:r>
      <w:r>
        <w:t xml:space="preserve">.  </w:t>
      </w:r>
    </w:p>
    <w:p w:rsidR="00DA392B" w:rsidP="008F483F" w14:paraId="773489B2" w14:textId="2FDF9631">
      <w:r>
        <w:t xml:space="preserve">We recommend that </w:t>
      </w:r>
      <w:r w:rsidR="001005CE">
        <w:t xml:space="preserve">Treasury and the Service revise the regulations </w:t>
      </w:r>
      <w:r>
        <w:t>promulgated under section 2702</w:t>
      </w:r>
      <w:r>
        <w:t xml:space="preserve"> dealing with retained qualified interest and retained interests in </w:t>
      </w:r>
      <w:r w:rsidR="00DB2FEE">
        <w:t xml:space="preserve">residence trusts and </w:t>
      </w:r>
      <w:r>
        <w:t>qualified residence trusts</w:t>
      </w:r>
      <w:r w:rsidR="001005CE">
        <w:t xml:space="preserve"> that are inconsistent with the best reading of the section and that create unnecessary </w:t>
      </w:r>
      <w:r>
        <w:t>burdens and uncertainty for taxpayers who transfer interests in trusts to family members.</w:t>
      </w:r>
      <w:r w:rsidR="001005CE">
        <w:t xml:space="preserve"> </w:t>
      </w:r>
      <w:r>
        <w:t xml:space="preserve"> Those regulations that we believ</w:t>
      </w:r>
      <w:r w:rsidR="00345937">
        <w:t>e should be revised are identified and discussed below.</w:t>
      </w:r>
    </w:p>
    <w:p w:rsidR="00345937" w:rsidRPr="00E24896" w:rsidP="008F483F" w14:paraId="5334D056" w14:textId="1ADC3CAC">
      <w:pPr>
        <w:rPr>
          <w:b/>
          <w:bCs/>
          <w:u w:val="single"/>
        </w:rPr>
      </w:pPr>
      <w:r w:rsidRPr="00E24896">
        <w:rPr>
          <w:b/>
          <w:bCs/>
          <w:u w:val="single"/>
        </w:rPr>
        <w:t>Qualified Interests</w:t>
      </w:r>
    </w:p>
    <w:p w:rsidR="00345937" w:rsidP="008F483F" w14:paraId="25F921C3" w14:textId="04230D1F">
      <w:r>
        <w:t>Section 2702</w:t>
      </w:r>
      <w:r w:rsidR="00645987">
        <w:t>(a)</w:t>
      </w:r>
      <w:r>
        <w:t xml:space="preserve"> </w:t>
      </w:r>
      <w:r w:rsidR="00FB72A6">
        <w:t xml:space="preserve">provides that a </w:t>
      </w:r>
      <w:r w:rsidR="00944F39">
        <w:t xml:space="preserve">transferor </w:t>
      </w:r>
      <w:r w:rsidR="00FB72A6">
        <w:t xml:space="preserve">who transfers an interest in trust to or for the benefit of a family member and retains an interest in that trust will </w:t>
      </w:r>
      <w:r w:rsidR="0087607A">
        <w:t>be treated</w:t>
      </w:r>
      <w:r w:rsidR="00FB72A6">
        <w:t xml:space="preserve"> for gift tax purposes (subject to certain exceptions) as having retained an interest with a zero value unless the retained interest in is the form of a qualified interest.</w:t>
      </w:r>
      <w:r>
        <w:t xml:space="preserve">  Section 2702(b) provides its own definition of qualified interest. A qualified interest is</w:t>
      </w:r>
      <w:r w:rsidR="00A47D73">
        <w:t>:</w:t>
      </w:r>
    </w:p>
    <w:p w:rsidR="00345937" w:rsidP="00A47D73" w14:paraId="11FF9254" w14:textId="74DD1DEE">
      <w:pPr>
        <w:ind w:left="1440" w:right="720"/>
        <w:jc w:val="both"/>
      </w:pPr>
      <w:r>
        <w:t>(1) any interest which consists of the right to receive fixed amounts payable not less frequently than annually,</w:t>
      </w:r>
    </w:p>
    <w:p w:rsidR="00345937" w:rsidP="00A47D73" w14:paraId="57AA775D" w14:textId="6C4A7334">
      <w:pPr>
        <w:ind w:left="1440" w:right="720"/>
        <w:jc w:val="both"/>
      </w:pPr>
      <w:r>
        <w:t xml:space="preserve">(2) any interest which consists of the right to receive amounts which are payable not less frequently than annually and are a fixed percentage of the fair market value of the property in the trust (determined annually), and </w:t>
      </w:r>
    </w:p>
    <w:p w:rsidR="00345937" w:rsidP="00A47D73" w14:paraId="40A0BF36" w14:textId="7146584F">
      <w:pPr>
        <w:ind w:left="1440" w:right="720"/>
        <w:jc w:val="both"/>
      </w:pPr>
      <w:r>
        <w:t xml:space="preserve">(3) any noncontingent remainder interest if </w:t>
      </w:r>
      <w:r>
        <w:t>all</w:t>
      </w:r>
      <w:r w:rsidR="00A47D73">
        <w:t xml:space="preserve"> </w:t>
      </w:r>
      <w:r>
        <w:t>of</w:t>
      </w:r>
      <w:r>
        <w:t xml:space="preserve"> the other interests in the trust consist of interests described in paragraph (1) </w:t>
      </w:r>
      <w:r w:rsidR="00A47D73">
        <w:t>or</w:t>
      </w:r>
      <w:r>
        <w:t xml:space="preserve"> (2).</w:t>
      </w:r>
    </w:p>
    <w:p w:rsidR="00345937" w:rsidP="00345937" w14:paraId="26A43721" w14:textId="208E6C0B">
      <w:r>
        <w:t>Qualified interests are excepted from the zero valuation rule because Congress determined that they were easily valued.</w:t>
      </w:r>
      <w:r>
        <w:rPr>
          <w:rStyle w:val="FootnoteReference"/>
        </w:rPr>
        <w:footnoteReference w:id="2"/>
      </w:r>
      <w:r>
        <w:t xml:space="preserve"> </w:t>
      </w:r>
      <w:r w:rsidR="00363D86">
        <w:t xml:space="preserve"> </w:t>
      </w:r>
      <w:r>
        <w:t xml:space="preserve"> U</w:t>
      </w:r>
      <w:r w:rsidR="00A47D73">
        <w:t xml:space="preserve">nlike the </w:t>
      </w:r>
      <w:r w:rsidR="00464902">
        <w:t xml:space="preserve">express </w:t>
      </w:r>
      <w:r w:rsidR="00A47D73">
        <w:t>delegation authority given to the Service in section 2704, which w</w:t>
      </w:r>
      <w:r w:rsidR="00FA5103">
        <w:t>as</w:t>
      </w:r>
      <w:r w:rsidR="00A47D73">
        <w:t xml:space="preserve"> enacted at the same time as section 2702, nothing in section 2702 delegates to Treasury the authority to add any additional requirements to </w:t>
      </w:r>
      <w:r>
        <w:t>the statute’s simple</w:t>
      </w:r>
      <w:r w:rsidR="00A47D73">
        <w:t xml:space="preserve"> definition.  Nor is there any ambiguity in the statutory definition that would justify any such additional requirements</w:t>
      </w:r>
      <w:r w:rsidR="00D71CB1">
        <w:t>.</w:t>
      </w:r>
      <w:r w:rsidR="00464902">
        <w:t xml:space="preserve"> </w:t>
      </w:r>
    </w:p>
    <w:p w:rsidR="00A47D73" w:rsidP="00345937" w14:paraId="28775953" w14:textId="12D3B5C5">
      <w:r>
        <w:t xml:space="preserve">The legislative history of section 2702 makes it clear that Congress </w:t>
      </w:r>
      <w:r w:rsidR="00453CD9">
        <w:t xml:space="preserve">intended that </w:t>
      </w:r>
      <w:r>
        <w:t xml:space="preserve">retained interests that </w:t>
      </w:r>
      <w:r w:rsidR="00FB72A6">
        <w:t>“take an easily valued form – as an annuity or unitrust interest” would not be subject to the zero valuation rule</w:t>
      </w:r>
      <w:r w:rsidR="00AB550C">
        <w:t>.</w:t>
      </w:r>
      <w:r>
        <w:rPr>
          <w:rStyle w:val="FootnoteReference"/>
        </w:rPr>
        <w:footnoteReference w:id="3"/>
      </w:r>
      <w:r w:rsidR="00AB550C">
        <w:t xml:space="preserve">  The right to receive a fixed amounts payable not less frequently than annually is a</w:t>
      </w:r>
      <w:r w:rsidR="00453CD9">
        <w:t>n</w:t>
      </w:r>
      <w:r w:rsidR="00AB550C">
        <w:t xml:space="preserve"> easily valued right.  </w:t>
      </w:r>
      <w:r w:rsidR="00453CD9">
        <w:t>Section 2702 provides that the value of any qualified interest is to be determined under section 7520.  Section 7520 provides that the value of any annuity is to be determined under tables prescribed by Treasury using an interest rate equal to 120% of the federal midterm rate in effect under section 1274 for the month in which the value of the retained interest is determined</w:t>
      </w:r>
      <w:r w:rsidR="00BF3202">
        <w:t xml:space="preserve"> (the “section 7520 rate”)</w:t>
      </w:r>
      <w:r w:rsidR="00453CD9">
        <w:t>.</w:t>
      </w:r>
      <w:r w:rsidR="00D71CB1">
        <w:t xml:space="preserve">  The regulations </w:t>
      </w:r>
      <w:r w:rsidR="00B2171A">
        <w:t>described</w:t>
      </w:r>
      <w:r w:rsidR="00D71CB1">
        <w:t xml:space="preserve"> below add additional requirements that </w:t>
      </w:r>
      <w:r w:rsidR="00204CD5">
        <w:t xml:space="preserve">make no meaningful contribution </w:t>
      </w:r>
      <w:r w:rsidR="00D71CB1">
        <w:t>to the</w:t>
      </w:r>
      <w:r w:rsidR="00B2171A">
        <w:t xml:space="preserve"> </w:t>
      </w:r>
      <w:r w:rsidR="00B2171A">
        <w:t xml:space="preserve">Congressional objective of </w:t>
      </w:r>
      <w:r w:rsidR="00204CD5">
        <w:t xml:space="preserve">imposing the </w:t>
      </w:r>
      <w:r w:rsidR="00B2171A">
        <w:t>zero valuation rule of section 2702(a)</w:t>
      </w:r>
      <w:r w:rsidR="00204CD5">
        <w:t xml:space="preserve"> on difficult to value retained interests</w:t>
      </w:r>
      <w:r w:rsidR="00B2171A">
        <w:t xml:space="preserve"> and</w:t>
      </w:r>
      <w:r w:rsidR="00204CD5">
        <w:t xml:space="preserve"> </w:t>
      </w:r>
      <w:r w:rsidR="00B2171A">
        <w:t>are</w:t>
      </w:r>
      <w:r w:rsidR="00204CD5">
        <w:t>,</w:t>
      </w:r>
      <w:r w:rsidR="00B2171A">
        <w:t xml:space="preserve"> </w:t>
      </w:r>
      <w:r w:rsidR="00204CD5">
        <w:t xml:space="preserve">therefore, </w:t>
      </w:r>
      <w:r w:rsidR="00B2171A">
        <w:t>inconsistent with the best reading of the statute</w:t>
      </w:r>
      <w:r w:rsidR="00FA5103">
        <w:t>.</w:t>
      </w:r>
    </w:p>
    <w:p w:rsidR="0008207C" w:rsidP="00D71CB1" w14:paraId="61A761AD" w14:textId="7D4DE948">
      <w:pPr>
        <w:pStyle w:val="ListParagraph"/>
        <w:numPr>
          <w:ilvl w:val="0"/>
          <w:numId w:val="11"/>
        </w:numPr>
      </w:pPr>
      <w:r w:rsidRPr="00B2171A">
        <w:rPr>
          <w:u w:val="single"/>
        </w:rPr>
        <w:t>Prohibition Against Use of Withdrawal Rights</w:t>
      </w:r>
      <w:r>
        <w:t xml:space="preserve">.  </w:t>
      </w:r>
      <w:r w:rsidR="00D71CB1">
        <w:t>Treas. Reg. §25.2702-3(b)(1)</w:t>
      </w:r>
      <w:r w:rsidR="00F61417">
        <w:t xml:space="preserve">(i) </w:t>
      </w:r>
      <w:r w:rsidR="00D71CB1">
        <w:t xml:space="preserve">provides that the right to receive a fixed amount does not include a right of withdrawal </w:t>
      </w:r>
      <w:r w:rsidR="00E24896">
        <w:t xml:space="preserve">of a fixed amount </w:t>
      </w:r>
      <w:r w:rsidR="00D71CB1">
        <w:t>despite the fact that</w:t>
      </w:r>
      <w:r w:rsidR="00D71CB1">
        <w:t xml:space="preserve"> </w:t>
      </w:r>
      <w:r w:rsidR="00DF4055">
        <w:t>the present</w:t>
      </w:r>
      <w:r>
        <w:t xml:space="preserve"> value of both </w:t>
      </w:r>
      <w:r w:rsidR="00DF4055">
        <w:t xml:space="preserve">types of </w:t>
      </w:r>
      <w:r>
        <w:t>rights would be</w:t>
      </w:r>
      <w:r w:rsidR="00461EA0">
        <w:t xml:space="preserve"> easily</w:t>
      </w:r>
      <w:r>
        <w:t xml:space="preserve"> determined under section 7520 by </w:t>
      </w:r>
      <w:r w:rsidR="00965E7D">
        <w:t>this formula</w:t>
      </w:r>
      <w:r w:rsidR="00461EA0">
        <w:t>:</w:t>
      </w:r>
    </w:p>
    <w:p w:rsidR="0008207C" w:rsidP="0008207C" w14:paraId="04066552" w14:textId="77777777">
      <w:pPr>
        <w:pStyle w:val="ListParagraph"/>
      </w:pPr>
    </w:p>
    <w:p w:rsidR="0008207C" w:rsidP="0008207C" w14:paraId="5C5232F0" w14:textId="5D1E4DB0">
      <w:pPr>
        <w:pStyle w:val="ListParagraph"/>
        <w:jc w:val="center"/>
        <w:rPr>
          <w:u w:val="single"/>
          <w:vertAlign w:val="superscript"/>
        </w:rPr>
      </w:pPr>
      <w:r>
        <w:t xml:space="preserve">Annual Amount  x </w:t>
      </w:r>
      <w:r w:rsidRPr="0008207C">
        <w:rPr>
          <w:u w:val="single"/>
        </w:rPr>
        <w:t>1- (1+</w:t>
      </w:r>
      <w:r w:rsidR="00461EA0">
        <w:rPr>
          <w:u w:val="single"/>
        </w:rPr>
        <w:t>r</w:t>
      </w:r>
      <w:r w:rsidRPr="0008207C">
        <w:rPr>
          <w:u w:val="single"/>
        </w:rPr>
        <w:t>)</w:t>
      </w:r>
      <w:r w:rsidRPr="0008207C">
        <w:rPr>
          <w:u w:val="single"/>
          <w:vertAlign w:val="superscript"/>
        </w:rPr>
        <w:t>-</w:t>
      </w:r>
      <w:r w:rsidR="00461EA0">
        <w:rPr>
          <w:u w:val="single"/>
          <w:vertAlign w:val="superscript"/>
        </w:rPr>
        <w:t>n</w:t>
      </w:r>
    </w:p>
    <w:p w:rsidR="0008207C" w:rsidP="0008207C" w14:paraId="1AB2F39C" w14:textId="3AF3BD69">
      <w:pPr>
        <w:pStyle w:val="ListParagraph"/>
        <w:jc w:val="center"/>
      </w:pPr>
      <w:r>
        <w:rPr>
          <w:vertAlign w:val="superscript"/>
        </w:rPr>
        <w:tab/>
      </w:r>
      <w:r>
        <w:rPr>
          <w:vertAlign w:val="superscript"/>
        </w:rPr>
        <w:tab/>
      </w:r>
      <w:r w:rsidR="00461EA0">
        <w:t>r</w:t>
      </w:r>
    </w:p>
    <w:p w:rsidR="00DF4055" w:rsidP="00DF4055" w14:paraId="03DEE540" w14:textId="7265B172">
      <w:pPr>
        <w:pStyle w:val="ListParagraph"/>
      </w:pPr>
      <w:r>
        <w:t>In this formula “</w:t>
      </w:r>
      <w:r w:rsidR="00461EA0">
        <w:t>r</w:t>
      </w:r>
      <w:r>
        <w:t xml:space="preserve">” equals the </w:t>
      </w:r>
      <w:r w:rsidR="00BF3202">
        <w:t>section 7520 rate</w:t>
      </w:r>
      <w:r>
        <w:t xml:space="preserve"> and “</w:t>
      </w:r>
      <w:r w:rsidR="00461EA0">
        <w:t>n</w:t>
      </w:r>
      <w:r>
        <w:t>” equals the number of years</w:t>
      </w:r>
      <w:r w:rsidR="00AA198E">
        <w:t xml:space="preserve"> that the right exists</w:t>
      </w:r>
      <w:r>
        <w:t xml:space="preserve">.  The fact that the taxpayer might fail to exercise a withdrawal right would not compromise the objective of section 2702. The failure would be treated for gift tax purposes as an additional taxable gift to the trust if the right lapsed and until the </w:t>
      </w:r>
      <w:r w:rsidR="00BF3202">
        <w:t xml:space="preserve">right </w:t>
      </w:r>
      <w:r>
        <w:t>lapse</w:t>
      </w:r>
      <w:r w:rsidR="00BF3202">
        <w:t>d,</w:t>
      </w:r>
      <w:r>
        <w:t xml:space="preserve"> as a below market rate loan to the trust under section 7872.</w:t>
      </w:r>
    </w:p>
    <w:p w:rsidR="0051030F" w:rsidP="00DF4055" w14:paraId="676230EC" w14:textId="77777777">
      <w:pPr>
        <w:pStyle w:val="ListParagraph"/>
      </w:pPr>
    </w:p>
    <w:p w:rsidR="00A9741B" w:rsidP="00AA198E" w14:paraId="6228FC3B" w14:textId="5EF0FCE3">
      <w:pPr>
        <w:pStyle w:val="ListParagraph"/>
        <w:numPr>
          <w:ilvl w:val="0"/>
          <w:numId w:val="11"/>
        </w:numPr>
      </w:pPr>
      <w:r w:rsidRPr="00B2171A">
        <w:rPr>
          <w:u w:val="single"/>
        </w:rPr>
        <w:t>Prohibition Against Use of Notes</w:t>
      </w:r>
      <w:r>
        <w:rPr>
          <w:u w:val="single"/>
        </w:rPr>
        <w:t xml:space="preserve"> to Satisfy Payment Obligations</w:t>
      </w:r>
      <w:r>
        <w:t xml:space="preserve">. </w:t>
      </w:r>
      <w:r w:rsidR="00AA198E">
        <w:t>Treas. Reg. §25.2702-3(b)(1)</w:t>
      </w:r>
      <w:r w:rsidR="00F61417">
        <w:t>(i)</w:t>
      </w:r>
      <w:r w:rsidR="00AA198E">
        <w:t xml:space="preserve"> and </w:t>
      </w:r>
      <w:r w:rsidR="00FA5103">
        <w:t>(d)</w:t>
      </w:r>
      <w:r w:rsidR="00AA198E">
        <w:t>(6)</w:t>
      </w:r>
      <w:r w:rsidR="00FB2CE9">
        <w:t>, which was added to the regulations more than seven years after the final regulations under section 2702 were adopted,</w:t>
      </w:r>
      <w:r w:rsidR="00AA198E">
        <w:t xml:space="preserve"> </w:t>
      </w:r>
      <w:r w:rsidR="006463A1">
        <w:t xml:space="preserve">requires that the governing instrument of the trust </w:t>
      </w:r>
      <w:r w:rsidR="00AA198E">
        <w:t xml:space="preserve">prohibit the </w:t>
      </w:r>
      <w:r w:rsidR="00246603">
        <w:t xml:space="preserve">issuance </w:t>
      </w:r>
      <w:r w:rsidR="00AA198E">
        <w:t xml:space="preserve">of a </w:t>
      </w:r>
      <w:r w:rsidR="00246603">
        <w:t xml:space="preserve">note, other </w:t>
      </w:r>
      <w:r w:rsidR="00AA198E">
        <w:t>debt instrument</w:t>
      </w:r>
      <w:r w:rsidR="00246603">
        <w:t>, option, or other similar financial arrangement</w:t>
      </w:r>
      <w:r w:rsidR="00AA198E">
        <w:t xml:space="preserve"> to satisfy the right to receive a fixed amount</w:t>
      </w:r>
      <w:r w:rsidR="00837718">
        <w:t xml:space="preserve">. </w:t>
      </w:r>
      <w:r w:rsidR="00AA198E">
        <w:t xml:space="preserve"> </w:t>
      </w:r>
      <w:r>
        <w:t>Treasury and the Service justified this prohibition in the preamble to the proposed regulations by stating that:</w:t>
      </w:r>
    </w:p>
    <w:p w:rsidR="00A9741B" w:rsidP="00A9741B" w14:paraId="05FE6807" w14:textId="77777777">
      <w:pPr>
        <w:pStyle w:val="ListParagraph"/>
      </w:pPr>
    </w:p>
    <w:p w:rsidR="00A9741B" w:rsidP="009F1A2C" w14:paraId="648E1F87" w14:textId="6066C2AD">
      <w:pPr>
        <w:pStyle w:val="ListParagraph"/>
        <w:ind w:left="1440" w:right="810"/>
        <w:jc w:val="both"/>
      </w:pPr>
      <w:r>
        <w:t xml:space="preserve">Delaying payment </w:t>
      </w:r>
      <w:r>
        <w:t>by the use of</w:t>
      </w:r>
      <w:r>
        <w:t xml:space="preserve"> a note to satisfy the annual payment obligation alters the true value of the transferor’s retained interest, contrary to Congressional intent in requiring provisions ensuring an accurate valuation of the interest</w:t>
      </w:r>
      <w:r w:rsidR="009F1A2C">
        <w:t>.</w:t>
      </w:r>
      <w:r>
        <w:rPr>
          <w:rStyle w:val="FootnoteReference"/>
        </w:rPr>
        <w:footnoteReference w:id="4"/>
      </w:r>
      <w:r>
        <w:t xml:space="preserve"> </w:t>
      </w:r>
    </w:p>
    <w:p w:rsidR="009F1A2C" w:rsidP="009F1A2C" w14:paraId="7F722CA9" w14:textId="77777777">
      <w:pPr>
        <w:pStyle w:val="ListParagraph"/>
        <w:ind w:left="1440" w:right="810"/>
        <w:jc w:val="both"/>
      </w:pPr>
    </w:p>
    <w:p w:rsidR="00DF4055" w:rsidP="00A9741B" w14:paraId="12A561C8" w14:textId="0C9F9D86">
      <w:pPr>
        <w:pStyle w:val="ListParagraph"/>
      </w:pPr>
      <w:r>
        <w:t xml:space="preserve">This statement in the preamble is inconsistent with </w:t>
      </w:r>
      <w:r w:rsidR="00E24896">
        <w:t xml:space="preserve">the </w:t>
      </w:r>
      <w:r>
        <w:t>reality</w:t>
      </w:r>
      <w:r w:rsidR="00E24896">
        <w:t xml:space="preserve"> of the financial markets</w:t>
      </w:r>
      <w:r>
        <w:t xml:space="preserve">. </w:t>
      </w:r>
      <w:r w:rsidR="007606EF">
        <w:t xml:space="preserve">Accepting a note in payment of a payment obligation does not alter the true value of the transferor’s retained interest if the debt instrument has a value equal to the amount of the payment obligation.  </w:t>
      </w:r>
      <w:r>
        <w:t xml:space="preserve"> A</w:t>
      </w:r>
      <w:r w:rsidR="00AA198E">
        <w:t xml:space="preserve"> debt instrument, like any other form of property, </w:t>
      </w:r>
      <w:r w:rsidR="00246603">
        <w:t>ha</w:t>
      </w:r>
      <w:r w:rsidR="00226A38">
        <w:t>s a</w:t>
      </w:r>
      <w:r w:rsidR="00AA198E">
        <w:t xml:space="preserve"> value</w:t>
      </w:r>
      <w:r>
        <w:t xml:space="preserve"> </w:t>
      </w:r>
      <w:r w:rsidR="00E24896">
        <w:t xml:space="preserve">that </w:t>
      </w:r>
      <w:r w:rsidR="00226A38">
        <w:t>is easily</w:t>
      </w:r>
      <w:r w:rsidR="00E24896">
        <w:t xml:space="preserve"> </w:t>
      </w:r>
      <w:r>
        <w:t>determinable based on factors such as the credit worthiness of the obligor and the interest rate</w:t>
      </w:r>
      <w:r w:rsidR="00AA198E">
        <w:t>.</w:t>
      </w:r>
      <w:r w:rsidR="00B2171A">
        <w:t xml:space="preserve">  If </w:t>
      </w:r>
      <w:r w:rsidR="00246603">
        <w:t xml:space="preserve">a </w:t>
      </w:r>
      <w:r w:rsidR="00B2171A">
        <w:t>note issued by a trust in satisfaction of an annuity right has a value equal to the amount of the annuity there is no basis in the statute or its legislative history for prohibiting its use to satisfy the annuity obligation.</w:t>
      </w:r>
      <w:r w:rsidR="00246603">
        <w:t xml:space="preserve">  </w:t>
      </w:r>
      <w:r w:rsidR="00226A38">
        <w:t>If there is a concern tha</w:t>
      </w:r>
      <w:r w:rsidR="007606EF">
        <w:t>t the trust might fail to make the payments required under the debt instrument, the regulations could remind the reader that failure to enforce the terms of a debt instrument would likely result in a taxable gift.</w:t>
      </w:r>
    </w:p>
    <w:p w:rsidR="00C42BE3" w:rsidP="00C42BE3" w14:paraId="5B7F9363" w14:textId="77777777">
      <w:pPr>
        <w:pStyle w:val="ListParagraph"/>
      </w:pPr>
    </w:p>
    <w:p w:rsidR="00C42BE3" w:rsidRPr="009D4811" w:rsidP="009F1A2C" w14:paraId="4221246E" w14:textId="13510A3D">
      <w:pPr>
        <w:pStyle w:val="ListParagraph"/>
        <w:numPr>
          <w:ilvl w:val="0"/>
          <w:numId w:val="11"/>
        </w:numPr>
        <w:rPr>
          <w:u w:val="single"/>
        </w:rPr>
      </w:pPr>
      <w:r>
        <w:rPr>
          <w:u w:val="single"/>
        </w:rPr>
        <w:t xml:space="preserve">Treatment of </w:t>
      </w:r>
      <w:r w:rsidRPr="00C42BE3">
        <w:rPr>
          <w:u w:val="single"/>
        </w:rPr>
        <w:t xml:space="preserve">Amounts </w:t>
      </w:r>
      <w:r>
        <w:rPr>
          <w:u w:val="single"/>
        </w:rPr>
        <w:t>That Exceed Amounts Payable in the</w:t>
      </w:r>
      <w:r w:rsidRPr="00C42BE3">
        <w:rPr>
          <w:u w:val="single"/>
        </w:rPr>
        <w:t xml:space="preserve"> Immediately Preceding Year by More Than 120%</w:t>
      </w:r>
      <w:r>
        <w:t>. Treas. Reg. §25.2702-3</w:t>
      </w:r>
      <w:r>
        <w:t xml:space="preserve">(b)(ii)(A) limits the value of the right to receive fixed amounts to the extent that the payments in one year exceed the payments in the previous year by more than 120% </w:t>
      </w:r>
      <w:r>
        <w:t>despite the fact that</w:t>
      </w:r>
      <w:r>
        <w:t xml:space="preserve"> the </w:t>
      </w:r>
      <w:r w:rsidR="009D4811">
        <w:t xml:space="preserve">present </w:t>
      </w:r>
      <w:r>
        <w:t xml:space="preserve">value of  increasing amounts can be easily determined under section 2702 no matter how great the annual </w:t>
      </w:r>
      <w:r w:rsidR="00461EA0">
        <w:t>percentage growth rate  by using this formula:</w:t>
      </w:r>
      <w:r>
        <w:t xml:space="preserve"> </w:t>
      </w:r>
    </w:p>
    <w:p w:rsidR="009D4811" w:rsidP="009D4811" w14:paraId="74E4B5A1" w14:textId="77777777">
      <w:pPr>
        <w:pStyle w:val="ListParagraph"/>
        <w:rPr>
          <w:rFonts w:eastAsiaTheme="minorEastAsia"/>
        </w:rPr>
      </w:pPr>
    </w:p>
    <w:p w:rsidR="009D4811" w:rsidRPr="009D4811" w:rsidP="009D4811" w14:paraId="2C7336B9" w14:textId="7D0CF374">
      <w:pPr>
        <w:rPr>
          <w:rFonts w:eastAsiaTheme="minorEastAsia"/>
        </w:rPr>
      </w:pPr>
      <m:oMathPara>
        <m:oMath>
          <m:f>
            <m:fPr>
              <m:ctrlPr>
                <w:rPr>
                  <w:rFonts w:ascii="Cambria Math" w:hAnsi="Cambria Math"/>
                  <w:i/>
                </w:rPr>
              </m:ctrlPr>
            </m:fPr>
            <m:num>
              <m:r>
                <w:rPr>
                  <w:rFonts w:ascii="Cambria Math" w:hAnsi="Cambria Math"/>
                </w:rPr>
                <m:t>pmt</m:t>
              </m:r>
            </m:num>
            <m:den>
              <m:r>
                <w:rPr>
                  <w:rFonts w:ascii="Cambria Math" w:hAnsi="Cambria Math"/>
                </w:rPr>
                <m:t>r-g</m:t>
              </m:r>
            </m:den>
          </m:f>
          <m:d>
            <m:dPr>
              <m:ctrlPr>
                <w:rPr>
                  <w:rFonts w:ascii="Cambria Math" w:hAnsi="Cambria Math"/>
                  <w:i/>
                </w:rPr>
              </m:ctrlPr>
            </m:dPr>
            <m:e>
              <m:sSup>
                <m:sSupPr>
                  <m:ctrlPr>
                    <w:rPr>
                      <w:rFonts w:ascii="Cambria Math" w:hAnsi="Cambria Math"/>
                      <w:i/>
                    </w:rPr>
                  </m:ctrlPr>
                </m:sSupPr>
                <m:e>
                  <m:r>
                    <w:rPr>
                      <w:rFonts w:ascii="Cambria Math" w:hAnsi="Cambria Math"/>
                    </w:rPr>
                    <m:t>l-</m:t>
                  </m:r>
                  <m:d>
                    <m:dPr>
                      <m:ctrlPr>
                        <w:rPr>
                          <w:rFonts w:ascii="Cambria Math" w:hAnsi="Cambria Math"/>
                          <w:i/>
                        </w:rPr>
                      </m:ctrlPr>
                    </m:dPr>
                    <m:e>
                      <m:f>
                        <m:fPr>
                          <m:ctrlPr>
                            <w:rPr>
                              <w:rFonts w:ascii="Cambria Math" w:hAnsi="Cambria Math"/>
                              <w:i/>
                            </w:rPr>
                          </m:ctrlPr>
                        </m:fPr>
                        <m:num>
                          <m:r>
                            <w:rPr>
                              <w:rFonts w:ascii="Cambria Math" w:hAnsi="Cambria Math"/>
                            </w:rPr>
                            <m:t>l+g</m:t>
                          </m:r>
                        </m:num>
                        <m:den>
                          <m:r>
                            <w:rPr>
                              <w:rFonts w:ascii="Cambria Math" w:hAnsi="Cambria Math"/>
                            </w:rPr>
                            <m:t>l+r</m:t>
                          </m:r>
                        </m:den>
                      </m:f>
                    </m:e>
                  </m:d>
                </m:e>
                <m:sup>
                  <m:r>
                    <w:rPr>
                      <w:rFonts w:ascii="Cambria Math" w:hAnsi="Cambria Math"/>
                    </w:rPr>
                    <m:t>n</m:t>
                  </m:r>
                </m:sup>
              </m:sSup>
            </m:e>
          </m:d>
        </m:oMath>
      </m:oMathPara>
    </w:p>
    <w:p w:rsidR="00DF4055" w:rsidP="009D4811" w14:paraId="57310F59" w14:textId="744A60CA">
      <w:pPr>
        <w:pStyle w:val="ListParagraph"/>
      </w:pPr>
      <w:r>
        <w:t xml:space="preserve">In this formula, “pmt” equals the initial amount, “r” </w:t>
      </w:r>
      <w:r w:rsidR="00FB2CE9">
        <w:t xml:space="preserve">equals the section 7520 rate, “n” equals the number of years over which payments are to be made, </w:t>
      </w:r>
      <w:r>
        <w:t xml:space="preserve"> and “g” equals the rate of annual increase</w:t>
      </w:r>
      <w:r w:rsidR="00EC7E30">
        <w:t>.</w:t>
      </w:r>
    </w:p>
    <w:p w:rsidR="00CB3305" w:rsidP="00CB3305" w14:paraId="788D8F67" w14:textId="64701865">
      <w:pPr>
        <w:ind w:left="810"/>
      </w:pPr>
      <w:r>
        <w:t xml:space="preserve">It is similarly easy to determine the present value of any stream of different annual payments by simply </w:t>
      </w:r>
      <w:r w:rsidR="007606EF">
        <w:t xml:space="preserve">dividing </w:t>
      </w:r>
      <w:r>
        <w:t>each payment by this formula:</w:t>
      </w:r>
    </w:p>
    <w:p w:rsidR="00CB3305" w:rsidP="00CB3305" w14:paraId="121DCB33" w14:textId="3B64D400">
      <w:pPr>
        <w:ind w:left="810"/>
        <w:jc w:val="center"/>
        <w:rPr>
          <w:vertAlign w:val="superscript"/>
        </w:rPr>
      </w:pPr>
      <w:r>
        <w:t xml:space="preserve"> (1-r)</w:t>
      </w:r>
      <w:r w:rsidRPr="00CB3305">
        <w:rPr>
          <w:vertAlign w:val="superscript"/>
        </w:rPr>
        <w:t xml:space="preserve"> n</w:t>
      </w:r>
    </w:p>
    <w:p w:rsidR="00CB3305" w:rsidP="00CB3305" w14:paraId="4CB51B91" w14:textId="60AF472A">
      <w:pPr>
        <w:ind w:left="810"/>
      </w:pPr>
      <w:r>
        <w:t xml:space="preserve">In this formula, </w:t>
      </w:r>
      <w:r w:rsidR="00204CD5">
        <w:t>“</w:t>
      </w:r>
      <w:r>
        <w:t>r</w:t>
      </w:r>
      <w:r w:rsidR="00204CD5">
        <w:t>”</w:t>
      </w:r>
      <w:r>
        <w:t xml:space="preserve"> </w:t>
      </w:r>
      <w:r w:rsidR="009D4811">
        <w:t xml:space="preserve">has the same meaning as in the previous formula </w:t>
      </w:r>
      <w:r>
        <w:t>and “n” equals the number of years between the date of the transfer to the trust and the year at the end of which the payment is to be made.</w:t>
      </w:r>
    </w:p>
    <w:p w:rsidR="00CB3305" w:rsidP="00CB3305" w14:paraId="622E33BD" w14:textId="417A976B">
      <w:pPr>
        <w:ind w:left="810"/>
      </w:pPr>
      <w:r>
        <w:t>The legislative history of section 2702 suggests that Congress intended Treasury to draw upon the rules that govern the valuation of split interests in property for purposes of the charitable deduction.</w:t>
      </w:r>
      <w:r>
        <w:rPr>
          <w:rStyle w:val="FootnoteReference"/>
        </w:rPr>
        <w:footnoteReference w:id="5"/>
      </w:r>
      <w:r>
        <w:t xml:space="preserve"> </w:t>
      </w:r>
      <w:r w:rsidR="00F72626">
        <w:t xml:space="preserve"> No similar limitation exists in the regulations that define a guaranteed annuity for purposes of the gift tax charitable deduction under section 2522.</w:t>
      </w:r>
      <w:r>
        <w:rPr>
          <w:rStyle w:val="FootnoteReference"/>
        </w:rPr>
        <w:footnoteReference w:id="6"/>
      </w:r>
    </w:p>
    <w:p w:rsidR="00EC74E2" w:rsidRPr="00EC74E2" w:rsidP="006463A1" w14:paraId="1E94C1E8" w14:textId="040093C1">
      <w:pPr>
        <w:pStyle w:val="ListParagraph"/>
        <w:numPr>
          <w:ilvl w:val="0"/>
          <w:numId w:val="11"/>
        </w:numPr>
        <w:rPr>
          <w:u w:val="single"/>
        </w:rPr>
      </w:pPr>
      <w:r w:rsidRPr="006463A1">
        <w:rPr>
          <w:u w:val="single"/>
        </w:rPr>
        <w:t xml:space="preserve">Prohibition </w:t>
      </w:r>
      <w:r>
        <w:rPr>
          <w:u w:val="single"/>
        </w:rPr>
        <w:t>Against</w:t>
      </w:r>
      <w:r w:rsidRPr="006463A1">
        <w:rPr>
          <w:u w:val="single"/>
        </w:rPr>
        <w:t xml:space="preserve"> Additional Contributions</w:t>
      </w:r>
      <w:r>
        <w:t>. Treas. Reg. §25.2702-3(b)(5) requires that the governing instrument of the trust prohibit additional contributions</w:t>
      </w:r>
      <w:r w:rsidR="003C569B">
        <w:t xml:space="preserve"> to the trust</w:t>
      </w:r>
      <w:r>
        <w:t xml:space="preserve">.  The </w:t>
      </w:r>
      <w:r w:rsidR="003C569B">
        <w:t>possibility that the taxpayer</w:t>
      </w:r>
      <w:r>
        <w:t xml:space="preserve"> or another person</w:t>
      </w:r>
      <w:r w:rsidR="003C569B">
        <w:t xml:space="preserve"> might make additional contributions to the</w:t>
      </w:r>
      <w:r>
        <w:t xml:space="preserve"> </w:t>
      </w:r>
      <w:r>
        <w:t xml:space="preserve">trust </w:t>
      </w:r>
      <w:r>
        <w:t xml:space="preserve">after the initial contribution with respect to which the qualified interest was retained cannot possibly have a negative impact on the value of </w:t>
      </w:r>
      <w:r>
        <w:t>the taxpayer’s</w:t>
      </w:r>
      <w:r w:rsidR="003C569B">
        <w:t xml:space="preserve"> </w:t>
      </w:r>
      <w:r>
        <w:t>retained interest in the trust</w:t>
      </w:r>
      <w:r w:rsidR="003C569B">
        <w:t xml:space="preserve"> at the time of the initial contribution</w:t>
      </w:r>
      <w:r>
        <w:t xml:space="preserve">.  </w:t>
      </w:r>
      <w:r>
        <w:t>It can only enhance the value of that interest.</w:t>
      </w:r>
    </w:p>
    <w:p w:rsidR="00EC74E2" w:rsidRPr="00EC74E2" w:rsidP="00EC74E2" w14:paraId="5C99B9CB" w14:textId="77777777">
      <w:pPr>
        <w:pStyle w:val="ListParagraph"/>
        <w:rPr>
          <w:u w:val="single"/>
        </w:rPr>
      </w:pPr>
    </w:p>
    <w:p w:rsidR="006463A1" w:rsidRPr="006463A1" w:rsidP="00EC74E2" w14:paraId="4615E14E" w14:textId="640A6A66">
      <w:pPr>
        <w:pStyle w:val="ListParagraph"/>
        <w:rPr>
          <w:u w:val="single"/>
        </w:rPr>
      </w:pPr>
      <w:r>
        <w:t>Treasury and the Service justified this prohibition i</w:t>
      </w:r>
      <w:r w:rsidR="00E861BB">
        <w:t>n the preamble to the final regulations issued under section 2702 on February 4, 1992</w:t>
      </w:r>
      <w:r w:rsidR="00EC74E2">
        <w:t xml:space="preserve"> </w:t>
      </w:r>
      <w:r>
        <w:t>by pointing out that “without this prohibition, additional contributions would arguably pass to the remainder beneficiary under certain circumstances without appropriate transfer taxes being paid.”</w:t>
      </w:r>
      <w:r>
        <w:rPr>
          <w:rStyle w:val="FootnoteReference"/>
        </w:rPr>
        <w:footnoteReference w:id="7"/>
      </w:r>
      <w:r>
        <w:t xml:space="preserve"> </w:t>
      </w:r>
      <w:r w:rsidR="00EC74E2">
        <w:t xml:space="preserve"> This concern </w:t>
      </w:r>
      <w:r w:rsidR="0012749A">
        <w:t>is</w:t>
      </w:r>
      <w:r w:rsidR="00EC74E2">
        <w:t xml:space="preserve"> without basis.  Any additional contribution would either enhance the value of the taxpayer’s retained interest in the trust, if, for example, the value of the trust property was no longer sufficient to make the required payments, or would be treated as an additional taxable gift.</w:t>
      </w:r>
    </w:p>
    <w:p w:rsidR="006463A1" w:rsidRPr="006463A1" w:rsidP="006463A1" w14:paraId="0EC4C828" w14:textId="77777777">
      <w:pPr>
        <w:pStyle w:val="ListParagraph"/>
        <w:rPr>
          <w:u w:val="single"/>
        </w:rPr>
      </w:pPr>
    </w:p>
    <w:p w:rsidR="006463A1" w:rsidP="00E24896" w14:paraId="237F89A3" w14:textId="7EA0A843">
      <w:pPr>
        <w:pStyle w:val="ListParagraph"/>
        <w:numPr>
          <w:ilvl w:val="0"/>
          <w:numId w:val="11"/>
        </w:numPr>
      </w:pPr>
      <w:r w:rsidRPr="00204CD5">
        <w:rPr>
          <w:u w:val="single"/>
        </w:rPr>
        <w:t>Limitations Imposed on the Duration of the Trust</w:t>
      </w:r>
      <w:r>
        <w:t>. Treas. Reg. §25.2702-3(d)(4)</w:t>
      </w:r>
      <w:r w:rsidR="00D71A82">
        <w:t xml:space="preserve"> requires the governing instrument of the trust to fix the term of the annuity payment for a term of years, for the life of the holder of the annuity interest, or for the shorter of  the two.  It prohibits a term measured by the longer of the life of annuity holder and a term of years.  It is no </w:t>
      </w:r>
      <w:r w:rsidR="00D71A82">
        <w:t>more</w:t>
      </w:r>
      <w:r w:rsidR="00D71A82">
        <w:t xml:space="preserve"> difficult to determine the value of an annuity payable for the longer of a term </w:t>
      </w:r>
      <w:r w:rsidR="00D71A82">
        <w:t>of years and the life of an individual or the shorter of a term of years and the life of an individual.</w:t>
      </w:r>
    </w:p>
    <w:p w:rsidR="009D4811" w:rsidP="009D4811" w14:paraId="71BCF4EB" w14:textId="77777777">
      <w:pPr>
        <w:pStyle w:val="ListParagraph"/>
        <w:ind w:left="810"/>
      </w:pPr>
    </w:p>
    <w:p w:rsidR="009D4811" w:rsidP="00CB3305" w14:paraId="63ED5CBE" w14:textId="7464110A">
      <w:pPr>
        <w:pStyle w:val="ListParagraph"/>
        <w:numPr>
          <w:ilvl w:val="0"/>
          <w:numId w:val="11"/>
        </w:numPr>
        <w:ind w:left="810"/>
      </w:pPr>
      <w:r w:rsidRPr="009D4811">
        <w:rPr>
          <w:u w:val="single"/>
        </w:rPr>
        <w:t>Prohibition Against Commutation</w:t>
      </w:r>
      <w:r>
        <w:t>.</w:t>
      </w:r>
      <w:r w:rsidRPr="009D4811">
        <w:t xml:space="preserve"> </w:t>
      </w:r>
      <w:r>
        <w:t xml:space="preserve">Treas. Reg. §25.2702-3(d)(5) requires the governing instrument of the trust to prohibit commutation (prepayment) of the interest of the </w:t>
      </w:r>
      <w:r w:rsidR="00944F39">
        <w:t xml:space="preserve">term </w:t>
      </w:r>
      <w:r>
        <w:t>holder</w:t>
      </w:r>
      <w:r w:rsidR="00EC7E30">
        <w:t xml:space="preserve"> </w:t>
      </w:r>
      <w:r w:rsidR="00EC7E30">
        <w:t>despite the fact that</w:t>
      </w:r>
      <w:r w:rsidR="00EC7E30">
        <w:t xml:space="preserve"> the statute simply states that interest must be payable at least annually.  This</w:t>
      </w:r>
      <w:r w:rsidR="00E24896">
        <w:t xml:space="preserve"> provision in the statute</w:t>
      </w:r>
      <w:r w:rsidR="00EC7E30">
        <w:t xml:space="preserve"> suggests that payment cannot be deferred but says nothing about prepayment.</w:t>
      </w:r>
      <w:r>
        <w:t xml:space="preserve"> The fact that the trustee of a trust required to make the annual payments to the taxpayer may decide to prepay those amounts would not cause the value of those future payments to have a </w:t>
      </w:r>
      <w:r w:rsidR="00E861BB">
        <w:t>lower value at the time of the taxpayer’s transfer.   If the amount of the prepayment at the time the prepayment was less than the value of the remaining payments, the taxpayer would have made an additional taxable gift.</w:t>
      </w:r>
    </w:p>
    <w:p w:rsidR="00EC74E2" w:rsidP="00EC74E2" w14:paraId="09E8F3E7" w14:textId="3DEEB2D4">
      <w:pPr>
        <w:ind w:left="720"/>
      </w:pPr>
      <w:r>
        <w:t>Treasury and the Service justified this prohibition in the preamble to the final regulations issued under section 2702 on February 4, 1992 by pointing out that “</w:t>
      </w:r>
      <w:r w:rsidR="00BF3202">
        <w:t>[c]ommutation (i.e., the prepayment of the term holder’s interest) shifts the risk of a decline in interest rates from the remainder beneficiaries to the term holder.</w:t>
      </w:r>
      <w:r>
        <w:rPr>
          <w:rStyle w:val="FootnoteReference"/>
        </w:rPr>
        <w:footnoteReference w:id="8"/>
      </w:r>
      <w:r w:rsidR="00BF3202">
        <w:t xml:space="preserve">  The concern here seems to be that if</w:t>
      </w:r>
      <w:r w:rsidR="002E47E4">
        <w:t xml:space="preserve"> </w:t>
      </w:r>
      <w:r w:rsidR="00BF3202">
        <w:t xml:space="preserve">the section 7520 rate </w:t>
      </w:r>
      <w:r w:rsidR="002E47E4">
        <w:t>increased after the taxpayer’s initial transfer to the trust, the trustee could prepay the taxpayer’s interest with an amount that was less than the present value of the remaining amounts if determined using the initial 7520 rate.  To the extent that this is a legitimate concern, the regulation could have simply required that any prepayment amount be calculated using the initial section 7520 rate</w:t>
      </w:r>
      <w:r w:rsidR="00FA5103">
        <w:t xml:space="preserve"> or the current section 7520 rate, whichever is lower</w:t>
      </w:r>
      <w:r w:rsidR="002E47E4">
        <w:t>.</w:t>
      </w:r>
    </w:p>
    <w:p w:rsidR="00645987" w:rsidRPr="00E24896" w:rsidP="00204CD5" w14:paraId="7EDC02DF" w14:textId="17B0C4AB">
      <w:pPr>
        <w:rPr>
          <w:b/>
          <w:bCs/>
          <w:u w:val="single"/>
        </w:rPr>
      </w:pPr>
      <w:r w:rsidRPr="00E24896">
        <w:rPr>
          <w:b/>
          <w:bCs/>
          <w:u w:val="single"/>
        </w:rPr>
        <w:t>Personal Residence Trusts</w:t>
      </w:r>
    </w:p>
    <w:p w:rsidR="005E7CE9" w:rsidP="00645987" w14:paraId="1103310E" w14:textId="63092121">
      <w:r>
        <w:t xml:space="preserve">Section 2702(a)(3(A)(ii) provides that section 2702 does not apply to a transfer of an interest in trust </w:t>
      </w:r>
      <w:r w:rsidR="00363D86">
        <w:t xml:space="preserve"> </w:t>
      </w:r>
      <w:r>
        <w:t xml:space="preserve">all the property in </w:t>
      </w:r>
      <w:r w:rsidR="00D91D40">
        <w:t xml:space="preserve">which </w:t>
      </w:r>
      <w:r>
        <w:t xml:space="preserve">consists of a residence to be used as a personal residence by persons holding term interests in </w:t>
      </w:r>
      <w:r w:rsidR="00363D86">
        <w:t>the</w:t>
      </w:r>
      <w:r>
        <w:t xml:space="preserve"> trust.</w:t>
      </w:r>
      <w:r w:rsidR="00A732C5">
        <w:t xml:space="preserve"> </w:t>
      </w:r>
      <w:r w:rsidR="009F2D2D">
        <w:t xml:space="preserve"> </w:t>
      </w:r>
      <w:r w:rsidR="009F2D2D">
        <w:t>Despite the fact that</w:t>
      </w:r>
      <w:r w:rsidR="009F2D2D">
        <w:t xml:space="preserve"> the statutory exception says nothing about future additions to the trust or the possible future sale of the personal residence, Treasury and the Service read the exception narrowly and concluded that it </w:t>
      </w:r>
      <w:r w:rsidR="00A966AE">
        <w:t>would not apply to a trust that could hold even minimal amounts of cash</w:t>
      </w:r>
      <w:r w:rsidR="00E24896">
        <w:t xml:space="preserve"> or to a trust that</w:t>
      </w:r>
      <w:r w:rsidR="00D91D40">
        <w:t xml:space="preserve"> </w:t>
      </w:r>
      <w:r w:rsidR="009F2D2D">
        <w:t xml:space="preserve">could sell the </w:t>
      </w:r>
      <w:r w:rsidR="00D91D40">
        <w:t>residence</w:t>
      </w:r>
      <w:r w:rsidR="009F2D2D">
        <w:t xml:space="preserve"> and reinvest the sale proceeds in other assets.</w:t>
      </w:r>
      <w:r w:rsidR="00A966AE">
        <w:t xml:space="preserve"> Because they recognized that a trust subject to such restrictions would have limited application, they decided to provide a safe harbor for trusts that could receive cash to provide for expenses and could sell the residence and reinvest the proceeds</w:t>
      </w:r>
      <w:r w:rsidR="00226A38">
        <w:t>.  Section 2702(a)(3)(A)(iii) gives Treasury and the Service the right to provide in regulations that section 2702 shall not apply to transfers they determine are not inconsistent with the purposes of section 2702</w:t>
      </w:r>
      <w:r w:rsidR="00A966AE">
        <w:t>.  As a result</w:t>
      </w:r>
      <w:r w:rsidR="00D91D40">
        <w:t xml:space="preserve">, the regulations </w:t>
      </w:r>
      <w:r w:rsidR="00A966AE">
        <w:t xml:space="preserve">now </w:t>
      </w:r>
      <w:r w:rsidR="00D91D40">
        <w:t xml:space="preserve">define two </w:t>
      </w:r>
      <w:r>
        <w:t>types</w:t>
      </w:r>
      <w:r w:rsidR="00D91D40">
        <w:t xml:space="preserve"> of personal residence trusts, one </w:t>
      </w:r>
      <w:r>
        <w:t xml:space="preserve">that can never hold anything other than a personal residence with a narrow exception for cash proceeds payable </w:t>
      </w:r>
      <w:r>
        <w:t>as a result of</w:t>
      </w:r>
      <w:r>
        <w:t xml:space="preserve"> damage, destruction or involuntary conversion and one that permits additional assets and the sale of the property under certain narrow exceptions.  The first type of trust is referred to as a “personal residence trust” and the second, as a “qualified personal residence trust.” </w:t>
      </w:r>
    </w:p>
    <w:p w:rsidR="00A966AE" w:rsidP="00645987" w14:paraId="452938DC" w14:textId="50C19256">
      <w:r>
        <w:t>The regulations described below add additional requirements that make no meaningful contribution to the Congressional objective of providing an exception for the transfer of personal residences to trusts and seem inconsistent with the best reading of the statute.</w:t>
      </w:r>
    </w:p>
    <w:p w:rsidR="00A966AE" w:rsidRPr="00300259" w:rsidP="00A966AE" w14:paraId="080036FB" w14:textId="6E635B67">
      <w:pPr>
        <w:pStyle w:val="ListParagraph"/>
        <w:numPr>
          <w:ilvl w:val="0"/>
          <w:numId w:val="12"/>
        </w:numPr>
        <w:rPr>
          <w:u w:val="single"/>
        </w:rPr>
      </w:pPr>
      <w:r w:rsidRPr="00A966AE">
        <w:rPr>
          <w:u w:val="single"/>
        </w:rPr>
        <w:t>Prohibition Against the Taxpayer Holding Interests in More Than Two Trusts That Are Personal Residence Trusts or Qualified Personal Residence Trusts</w:t>
      </w:r>
      <w:r w:rsidR="00672F2D">
        <w:t xml:space="preserve">. Treas. Reg. §25.2702-5(a) provides that a trust is a personal residence trust or a qualified personal residence trust only if the term holder, at the time of the transfer to the trust does not hold term interests in two other trusts that are either personal residence trusts or qualified personal residence trusts. Nothing in the statute suggests that Congress intended this limitation.  </w:t>
      </w:r>
    </w:p>
    <w:p w:rsidR="00300259" w:rsidP="00300259" w14:paraId="64D8DC50" w14:textId="36D52F1D">
      <w:pPr>
        <w:ind w:left="720"/>
      </w:pPr>
      <w:r>
        <w:t xml:space="preserve">Treasury and the Service justified this prohibition by stating in the preamble to the final section 2702 regulations issued on February 4, 1992  their belief that, because the transfer of a personal residence in trust “presents the same opportunity for valuation abuse that Congress sought to prevent by enactment of section 2702” </w:t>
      </w:r>
      <w:r w:rsidR="00165CDE">
        <w:t>C</w:t>
      </w:r>
      <w:r>
        <w:t>ongress intended that the section be a narrow one  “to enable transferors to pass the family home . . . or a vacation home, to younger members of the family.”</w:t>
      </w:r>
      <w:r>
        <w:rPr>
          <w:rStyle w:val="FootnoteReference"/>
        </w:rPr>
        <w:footnoteReference w:id="9"/>
      </w:r>
      <w:r>
        <w:t xml:space="preserve">   They then looked to section 163</w:t>
      </w:r>
      <w:r w:rsidR="00165CDE">
        <w:t>(h)</w:t>
      </w:r>
      <w:r>
        <w:t xml:space="preserve"> of the Code</w:t>
      </w:r>
      <w:r w:rsidR="00CA4459">
        <w:t>,</w:t>
      </w:r>
      <w:r>
        <w:t xml:space="preserve"> which defines</w:t>
      </w:r>
      <w:r w:rsidR="00165CDE">
        <w:t xml:space="preserve"> a</w:t>
      </w:r>
      <w:r>
        <w:t xml:space="preserve"> “qualified res</w:t>
      </w:r>
      <w:r w:rsidR="00165CDE">
        <w:t>idence” for purposes of the rule allowing the deduction of certain interest payments as the principal residence of the taxpayer and one other residence used by the taxpayer as a residence</w:t>
      </w:r>
      <w:r w:rsidR="00CA4459">
        <w:t>,</w:t>
      </w:r>
      <w:r w:rsidR="00165CDE">
        <w:t xml:space="preserve"> and conclude</w:t>
      </w:r>
      <w:r w:rsidR="00CA4459">
        <w:t>d</w:t>
      </w:r>
      <w:r w:rsidR="00165CDE">
        <w:t xml:space="preserve"> that that section contains the most recent evidence of what Congress means when it refers to a personal residence of a taxpayer.  But the existence of the precise definition of a qualified personal residence for purposes of the interest deduction simply means that Congress knows how to impose limitations on a term when it intends to do so.  The fact that no such limitations appear in section 2702(a)(3(A)(ii) suggests that it </w:t>
      </w:r>
      <w:r w:rsidR="00CA4459">
        <w:t>had no intention to impose any</w:t>
      </w:r>
      <w:r w:rsidR="00165CDE">
        <w:t xml:space="preserve"> such limitations.</w:t>
      </w:r>
    </w:p>
    <w:p w:rsidR="00CA4459" w:rsidRPr="00452BB7" w:rsidP="00CA4459" w14:paraId="1081DB4B" w14:textId="37B8CE49">
      <w:pPr>
        <w:pStyle w:val="ListParagraph"/>
        <w:numPr>
          <w:ilvl w:val="0"/>
          <w:numId w:val="12"/>
        </w:numPr>
        <w:rPr>
          <w:u w:val="single"/>
        </w:rPr>
      </w:pPr>
      <w:r w:rsidRPr="00CA4459">
        <w:rPr>
          <w:u w:val="single"/>
        </w:rPr>
        <w:t>Prohibition Against Sale of the Residence to the Transferor or the Transferor’s Spouse</w:t>
      </w:r>
      <w:r>
        <w:t xml:space="preserve">. Treas. Reg. §25.2702-5(b) and (c)(9) require that the governing instrument of a personal residence trust or a qualified personal residence trust must prohibit the sale of the residence to the </w:t>
      </w:r>
      <w:r w:rsidR="00F7589F">
        <w:t>transferor or the transferor’s</w:t>
      </w:r>
      <w:r>
        <w:t xml:space="preserve"> spouse either during the term of the trust or thereafter while the residence is held in a trust that is treated as owned by the </w:t>
      </w:r>
      <w:r w:rsidR="00F7589F">
        <w:t xml:space="preserve">transferor </w:t>
      </w:r>
      <w:r>
        <w:t xml:space="preserve"> under section 671.  This prohibition was not added to the regulations until </w:t>
      </w:r>
      <w:r w:rsidR="00452BB7">
        <w:t xml:space="preserve">1997 and has no basis either in the statute or its legislative history.  </w:t>
      </w:r>
    </w:p>
    <w:p w:rsidR="00F7589F" w:rsidP="00452BB7" w14:paraId="7AFB589F" w14:textId="223B72E7">
      <w:pPr>
        <w:ind w:left="720"/>
      </w:pPr>
      <w:r>
        <w:t>Treasury and the Service justified this prohibition in the preamble to the proposed regulations by once again opining that Congress’s intention in creating the personal residence trust exception was to “</w:t>
      </w:r>
      <w:r w:rsidR="00DF63A5">
        <w:t>enable transferors to pass the family home to younger members of the family.”</w:t>
      </w:r>
      <w:r>
        <w:rPr>
          <w:rStyle w:val="FootnoteReference"/>
        </w:rPr>
        <w:footnoteReference w:id="10"/>
      </w:r>
      <w:r w:rsidR="00DF63A5">
        <w:t xml:space="preserve"> It then concluded that permitting a sale of the residence to the transferor or the transferor’s spouse was inconsistent with this intention.   </w:t>
      </w:r>
      <w:r>
        <w:t>But nothing in the statute suggests that a sale of the residence once it has been transferred to the trust should be prohibited.  The fact that Treasury and the Service limited the sale prohibition to sales to the transferor and the transferor’s spouse and permits sales to others</w:t>
      </w:r>
      <w:r w:rsidR="00DB18D4">
        <w:t xml:space="preserve"> </w:t>
      </w:r>
      <w:r>
        <w:t>suggests that the real purpose of the regulation was to limit sales of the residence to those transactions that would be recognition events for income tax purposes</w:t>
      </w:r>
      <w:r w:rsidR="0012749A">
        <w:t>, a purpose that has nothing to do with Congress’s purpose in enacting section 2702</w:t>
      </w:r>
      <w:r>
        <w:t>.</w:t>
      </w:r>
    </w:p>
    <w:p w:rsidR="00452BB7" w:rsidRPr="00452BB7" w:rsidP="00F7589F" w14:paraId="60A556BB" w14:textId="5A7D7319">
      <w:pPr>
        <w:pStyle w:val="ListParagraph"/>
        <w:numPr>
          <w:ilvl w:val="0"/>
          <w:numId w:val="12"/>
        </w:numPr>
        <w:rPr>
          <w:u w:val="single"/>
        </w:rPr>
      </w:pPr>
      <w:r w:rsidRPr="009D4811">
        <w:rPr>
          <w:u w:val="single"/>
        </w:rPr>
        <w:t>Prohibition Against Commutation</w:t>
      </w:r>
      <w:r>
        <w:t>.</w:t>
      </w:r>
      <w:r w:rsidRPr="009D4811">
        <w:t xml:space="preserve"> </w:t>
      </w:r>
      <w:r>
        <w:t>Treas. Reg. §25.2702-5(c)(6)</w:t>
      </w:r>
      <w:r w:rsidR="003122F6">
        <w:t xml:space="preserve"> </w:t>
      </w:r>
      <w:r w:rsidR="00944F39">
        <w:t xml:space="preserve">requires the governing instrument of a qualified personal residence trust, but not a personal residence trust,  to </w:t>
      </w:r>
      <w:r w:rsidR="00944F39">
        <w:t>prohibit commutation (prepayment) of the interest of the term holder,  Nothing in the statute or the legislative history justifies requiring this prohibition.</w:t>
      </w:r>
    </w:p>
    <w:p w:rsidR="00D91D40" w:rsidP="00645987" w14:paraId="573BD3E0" w14:textId="04078ED4"/>
    <w:p w:rsidR="00D91D40" w:rsidRPr="00204CD5" w:rsidP="00645987" w14:paraId="42884DF6" w14:textId="77777777"/>
    <w:p w:rsidR="00204CD5" w:rsidRPr="00CB3305" w:rsidP="00204CD5" w14:paraId="0F873449" w14:textId="77777777"/>
    <w:p w:rsidR="00CB3305" w:rsidRPr="00DF4055" w:rsidP="00CB3305" w14:paraId="1E3E69F7" w14:textId="77777777">
      <w:pPr>
        <w:ind w:left="810"/>
        <w:jc w:val="center"/>
      </w:pPr>
    </w:p>
    <w:p w:rsidR="0008207C" w:rsidP="0008207C" w14:paraId="369EB20F" w14:textId="77777777">
      <w:pPr>
        <w:ind w:left="1440" w:firstLine="720"/>
      </w:pPr>
    </w:p>
    <w:p w:rsidR="0008207C" w:rsidP="0008207C" w14:paraId="77A5748A" w14:textId="77777777">
      <w:pPr>
        <w:ind w:left="1440" w:firstLine="720"/>
      </w:pPr>
    </w:p>
    <w:p w:rsidR="00D71CB1" w:rsidRPr="00B84300" w:rsidP="0051030F" w14:paraId="084CDEF8" w14:textId="3E496A3C">
      <w:pPr>
        <w:pStyle w:val="ListParagraph"/>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0224994"/>
      <w:docPartObj>
        <w:docPartGallery w:val="Page Numbers (Bottom of Page)"/>
        <w:docPartUnique/>
      </w:docPartObj>
    </w:sdtPr>
    <w:sdtEndPr>
      <w:rPr>
        <w:noProof/>
      </w:rPr>
    </w:sdtEndPr>
    <w:sdtContent>
      <w:p w:rsidR="00F72626" w14:paraId="09808191" w14:textId="0464730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72626" w14:paraId="745D6C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47BC8" w:rsidP="00F72626" w14:paraId="03B665B5" w14:textId="77777777">
      <w:pPr>
        <w:spacing w:after="0"/>
      </w:pPr>
      <w:r>
        <w:separator/>
      </w:r>
    </w:p>
  </w:footnote>
  <w:footnote w:type="continuationSeparator" w:id="1">
    <w:p w:rsidR="00547BC8" w:rsidP="00F72626" w14:paraId="4F8E9E24" w14:textId="77777777">
      <w:pPr>
        <w:spacing w:after="0"/>
      </w:pPr>
      <w:r>
        <w:continuationSeparator/>
      </w:r>
    </w:p>
  </w:footnote>
  <w:footnote w:id="2">
    <w:p w:rsidR="00EC7E30" w14:paraId="42AF2E6D" w14:textId="3C59C627">
      <w:pPr>
        <w:pStyle w:val="FootnoteText"/>
      </w:pPr>
      <w:r>
        <w:rPr>
          <w:rStyle w:val="FootnoteReference"/>
        </w:rPr>
        <w:footnoteRef/>
      </w:r>
      <w:r>
        <w:t xml:space="preserve"> 136 Cong Rec. 30,485, 30538.</w:t>
      </w:r>
    </w:p>
  </w:footnote>
  <w:footnote w:id="3">
    <w:p w:rsidR="00EC7E30" w14:paraId="19F4A7A2" w14:textId="36E48B3D">
      <w:pPr>
        <w:pStyle w:val="FootnoteText"/>
      </w:pPr>
      <w:r>
        <w:rPr>
          <w:rStyle w:val="FootnoteReference"/>
        </w:rPr>
        <w:footnoteRef/>
      </w:r>
      <w:r>
        <w:t xml:space="preserve"> 136 Cong Rec. 30,485, 30538.</w:t>
      </w:r>
    </w:p>
  </w:footnote>
  <w:footnote w:id="4">
    <w:p w:rsidR="009F1A2C" w14:paraId="61475298" w14:textId="517A4707">
      <w:pPr>
        <w:pStyle w:val="FootnoteText"/>
      </w:pPr>
      <w:r>
        <w:rPr>
          <w:rStyle w:val="FootnoteReference"/>
        </w:rPr>
        <w:footnoteRef/>
      </w:r>
      <w:r>
        <w:t xml:space="preserve"> </w:t>
      </w:r>
      <w:r w:rsidR="00944F39">
        <w:t xml:space="preserve">Notice of Proposed Rule Making – Definition of a Qualified Interest in a Grantor Retained annuity Trust and a Grantor Retained Unitrust,  64 </w:t>
      </w:r>
      <w:r>
        <w:t>Fed. Reg. Vol. 64, 3325</w:t>
      </w:r>
      <w:r w:rsidR="00944F39">
        <w:t xml:space="preserve"> (June 22, 1999)</w:t>
      </w:r>
      <w:r>
        <w:t>.</w:t>
      </w:r>
    </w:p>
  </w:footnote>
  <w:footnote w:id="5">
    <w:p w:rsidR="00EC7E30" w14:paraId="2BC95952" w14:textId="6010CABB">
      <w:pPr>
        <w:pStyle w:val="FootnoteText"/>
      </w:pPr>
      <w:r>
        <w:rPr>
          <w:rStyle w:val="FootnoteReference"/>
        </w:rPr>
        <w:footnoteRef/>
      </w:r>
      <w:r>
        <w:t xml:space="preserve"> 136 Cong Rec. 30,485, 30538.</w:t>
      </w:r>
    </w:p>
  </w:footnote>
  <w:footnote w:id="6">
    <w:p w:rsidR="00EC7E30" w14:paraId="766B1C7B" w14:textId="57648B0A">
      <w:pPr>
        <w:pStyle w:val="FootnoteText"/>
      </w:pPr>
      <w:r>
        <w:rPr>
          <w:rStyle w:val="FootnoteReference"/>
        </w:rPr>
        <w:footnoteRef/>
      </w:r>
      <w:r>
        <w:t xml:space="preserve"> Treas. Reg. §25.2522(c)-3(c)(2)(vi).</w:t>
      </w:r>
    </w:p>
  </w:footnote>
  <w:footnote w:id="7">
    <w:p w:rsidR="00EC7E30" w14:paraId="0A8B9357" w14:textId="1C0E4692">
      <w:pPr>
        <w:pStyle w:val="FootnoteText"/>
      </w:pPr>
      <w:r>
        <w:rPr>
          <w:rStyle w:val="FootnoteReference"/>
        </w:rPr>
        <w:footnoteRef/>
      </w:r>
      <w:r>
        <w:t xml:space="preserve"> T.D. 8395 (Feb. 4,1992).</w:t>
      </w:r>
    </w:p>
  </w:footnote>
  <w:footnote w:id="8">
    <w:p w:rsidR="00EC7E30" w14:paraId="5B1CC1FF" w14:textId="1801E882">
      <w:pPr>
        <w:pStyle w:val="FootnoteText"/>
      </w:pPr>
      <w:r>
        <w:rPr>
          <w:rStyle w:val="FootnoteReference"/>
        </w:rPr>
        <w:footnoteRef/>
      </w:r>
      <w:r>
        <w:t xml:space="preserve"> T.D. 8395 (Feb. </w:t>
      </w:r>
      <w:r>
        <w:t>4,1992)</w:t>
      </w:r>
      <w:r w:rsidR="00DB18D4">
        <w:t>.</w:t>
      </w:r>
    </w:p>
  </w:footnote>
  <w:footnote w:id="9">
    <w:p w:rsidR="00E24896" w14:paraId="76CF67E3" w14:textId="4B117FF3">
      <w:pPr>
        <w:pStyle w:val="FootnoteText"/>
      </w:pPr>
      <w:r>
        <w:rPr>
          <w:rStyle w:val="FootnoteReference"/>
        </w:rPr>
        <w:footnoteRef/>
      </w:r>
      <w:r>
        <w:t xml:space="preserve"> T.D. 8395 (Feb. 4,1992).</w:t>
      </w:r>
    </w:p>
  </w:footnote>
  <w:footnote w:id="10">
    <w:p w:rsidR="00DF63A5" w14:paraId="1038F620" w14:textId="23279657">
      <w:pPr>
        <w:pStyle w:val="FootnoteText"/>
      </w:pPr>
      <w:r>
        <w:rPr>
          <w:rStyle w:val="FootnoteReference"/>
        </w:rPr>
        <w:footnoteRef/>
      </w:r>
      <w:r>
        <w:t xml:space="preserve"> </w:t>
      </w:r>
      <w:r w:rsidR="00944F39">
        <w:t xml:space="preserve">Notice of Proposed Rule Making - </w:t>
      </w:r>
      <w:r>
        <w:t>Sale of Residence From Qualified Personal Residence Trust, 61 Fed. Reg. 16623 (April 16, 1996)</w:t>
      </w:r>
      <w:r w:rsidR="00944F3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3864AE2"/>
    <w:lvl w:ilvl="0">
      <w:start w:val="1"/>
      <w:numFmt w:val="decimal"/>
      <w:lvlText w:val="%1."/>
      <w:lvlJc w:val="left"/>
      <w:pPr>
        <w:tabs>
          <w:tab w:val="num" w:pos="1800"/>
        </w:tabs>
        <w:ind w:left="1800" w:hanging="360"/>
      </w:pPr>
    </w:lvl>
  </w:abstractNum>
  <w:abstractNum w:abstractNumId="1">
    <w:nsid w:val="FFFFFF7D"/>
    <w:multiLevelType w:val="singleLevel"/>
    <w:tmpl w:val="36A82792"/>
    <w:lvl w:ilvl="0">
      <w:start w:val="1"/>
      <w:numFmt w:val="decimal"/>
      <w:lvlText w:val="%1."/>
      <w:lvlJc w:val="left"/>
      <w:pPr>
        <w:tabs>
          <w:tab w:val="num" w:pos="1440"/>
        </w:tabs>
        <w:ind w:left="1440" w:hanging="360"/>
      </w:pPr>
    </w:lvl>
  </w:abstractNum>
  <w:abstractNum w:abstractNumId="2">
    <w:nsid w:val="FFFFFF7E"/>
    <w:multiLevelType w:val="singleLevel"/>
    <w:tmpl w:val="9750701A"/>
    <w:lvl w:ilvl="0">
      <w:start w:val="1"/>
      <w:numFmt w:val="decimal"/>
      <w:lvlText w:val="%1."/>
      <w:lvlJc w:val="left"/>
      <w:pPr>
        <w:tabs>
          <w:tab w:val="num" w:pos="1080"/>
        </w:tabs>
        <w:ind w:left="1080" w:hanging="360"/>
      </w:pPr>
    </w:lvl>
  </w:abstractNum>
  <w:abstractNum w:abstractNumId="3">
    <w:nsid w:val="FFFFFF7F"/>
    <w:multiLevelType w:val="singleLevel"/>
    <w:tmpl w:val="65C6B5B0"/>
    <w:lvl w:ilvl="0">
      <w:start w:val="1"/>
      <w:numFmt w:val="decimal"/>
      <w:lvlText w:val="%1."/>
      <w:lvlJc w:val="left"/>
      <w:pPr>
        <w:tabs>
          <w:tab w:val="num" w:pos="720"/>
        </w:tabs>
        <w:ind w:left="720" w:hanging="360"/>
      </w:pPr>
    </w:lvl>
  </w:abstractNum>
  <w:abstractNum w:abstractNumId="4">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9C30A2"/>
    <w:lvl w:ilvl="0">
      <w:start w:val="1"/>
      <w:numFmt w:val="decimal"/>
      <w:lvlText w:val="%1."/>
      <w:lvlJc w:val="left"/>
      <w:pPr>
        <w:tabs>
          <w:tab w:val="num" w:pos="360"/>
        </w:tabs>
        <w:ind w:left="360" w:hanging="360"/>
      </w:pPr>
    </w:lvl>
  </w:abstractNum>
  <w:abstractNum w:abstractNumId="9">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abstractNum w:abstractNumId="10">
    <w:nsid w:val="491F6C31"/>
    <w:multiLevelType w:val="hybridMultilevel"/>
    <w:tmpl w:val="AA646BD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CC0009"/>
    <w:multiLevelType w:val="hybridMultilevel"/>
    <w:tmpl w:val="0BDA2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trackRevisions/>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29"/>
    <w:rsid w:val="00043104"/>
    <w:rsid w:val="00043E12"/>
    <w:rsid w:val="00066816"/>
    <w:rsid w:val="0008207C"/>
    <w:rsid w:val="0008557D"/>
    <w:rsid w:val="00094674"/>
    <w:rsid w:val="000A2A43"/>
    <w:rsid w:val="000B0659"/>
    <w:rsid w:val="001005CE"/>
    <w:rsid w:val="00107277"/>
    <w:rsid w:val="00124C80"/>
    <w:rsid w:val="0012749A"/>
    <w:rsid w:val="00150C5D"/>
    <w:rsid w:val="00165CDE"/>
    <w:rsid w:val="00190876"/>
    <w:rsid w:val="0019103E"/>
    <w:rsid w:val="0019181D"/>
    <w:rsid w:val="001B5A13"/>
    <w:rsid w:val="001C4675"/>
    <w:rsid w:val="001E1D07"/>
    <w:rsid w:val="00204CD5"/>
    <w:rsid w:val="00205D57"/>
    <w:rsid w:val="0022006F"/>
    <w:rsid w:val="00226A38"/>
    <w:rsid w:val="00246603"/>
    <w:rsid w:val="0025112F"/>
    <w:rsid w:val="002B75FC"/>
    <w:rsid w:val="002E47E4"/>
    <w:rsid w:val="00300259"/>
    <w:rsid w:val="0030222F"/>
    <w:rsid w:val="003122F6"/>
    <w:rsid w:val="003367D4"/>
    <w:rsid w:val="00345937"/>
    <w:rsid w:val="00352CCC"/>
    <w:rsid w:val="003635DD"/>
    <w:rsid w:val="00363D86"/>
    <w:rsid w:val="00385A48"/>
    <w:rsid w:val="003C569B"/>
    <w:rsid w:val="003D68E6"/>
    <w:rsid w:val="003F7729"/>
    <w:rsid w:val="0040180B"/>
    <w:rsid w:val="00452BB7"/>
    <w:rsid w:val="00453CD9"/>
    <w:rsid w:val="00461EA0"/>
    <w:rsid w:val="00464902"/>
    <w:rsid w:val="00465C37"/>
    <w:rsid w:val="004721B8"/>
    <w:rsid w:val="004749B0"/>
    <w:rsid w:val="00485D65"/>
    <w:rsid w:val="004C6C9E"/>
    <w:rsid w:val="004E1DE7"/>
    <w:rsid w:val="004E3B81"/>
    <w:rsid w:val="004E4F37"/>
    <w:rsid w:val="004E6BD0"/>
    <w:rsid w:val="00501DA7"/>
    <w:rsid w:val="0051030F"/>
    <w:rsid w:val="00517B7F"/>
    <w:rsid w:val="00522D3F"/>
    <w:rsid w:val="00537881"/>
    <w:rsid w:val="00547BC8"/>
    <w:rsid w:val="005529CE"/>
    <w:rsid w:val="005541C2"/>
    <w:rsid w:val="005A41B6"/>
    <w:rsid w:val="005B47D0"/>
    <w:rsid w:val="005C42DB"/>
    <w:rsid w:val="005E0320"/>
    <w:rsid w:val="005E0656"/>
    <w:rsid w:val="005E7CE9"/>
    <w:rsid w:val="005F76B9"/>
    <w:rsid w:val="0063261B"/>
    <w:rsid w:val="00636303"/>
    <w:rsid w:val="00645987"/>
    <w:rsid w:val="006463A1"/>
    <w:rsid w:val="0065559E"/>
    <w:rsid w:val="006720BA"/>
    <w:rsid w:val="00672F2D"/>
    <w:rsid w:val="00693944"/>
    <w:rsid w:val="006A7F72"/>
    <w:rsid w:val="006C56D1"/>
    <w:rsid w:val="006C740F"/>
    <w:rsid w:val="006D1C40"/>
    <w:rsid w:val="007301FF"/>
    <w:rsid w:val="00746B18"/>
    <w:rsid w:val="007606EF"/>
    <w:rsid w:val="00764CA9"/>
    <w:rsid w:val="00786BB5"/>
    <w:rsid w:val="007D2AD6"/>
    <w:rsid w:val="007D3E56"/>
    <w:rsid w:val="00807E61"/>
    <w:rsid w:val="0082066A"/>
    <w:rsid w:val="00837718"/>
    <w:rsid w:val="0086403D"/>
    <w:rsid w:val="0087607A"/>
    <w:rsid w:val="008B3A2D"/>
    <w:rsid w:val="008B4788"/>
    <w:rsid w:val="008C1326"/>
    <w:rsid w:val="008C65E8"/>
    <w:rsid w:val="008E1C0A"/>
    <w:rsid w:val="008F483F"/>
    <w:rsid w:val="00944F39"/>
    <w:rsid w:val="00965E7D"/>
    <w:rsid w:val="00997B14"/>
    <w:rsid w:val="009A6D55"/>
    <w:rsid w:val="009D4811"/>
    <w:rsid w:val="009F1A2C"/>
    <w:rsid w:val="009F2D2D"/>
    <w:rsid w:val="00A14A6D"/>
    <w:rsid w:val="00A47D73"/>
    <w:rsid w:val="00A56A42"/>
    <w:rsid w:val="00A732C5"/>
    <w:rsid w:val="00A966AE"/>
    <w:rsid w:val="00A9741B"/>
    <w:rsid w:val="00A975D9"/>
    <w:rsid w:val="00AA198E"/>
    <w:rsid w:val="00AB48C8"/>
    <w:rsid w:val="00AB550C"/>
    <w:rsid w:val="00AF5D9B"/>
    <w:rsid w:val="00B1089F"/>
    <w:rsid w:val="00B17B93"/>
    <w:rsid w:val="00B2171A"/>
    <w:rsid w:val="00B569CA"/>
    <w:rsid w:val="00B62442"/>
    <w:rsid w:val="00B64528"/>
    <w:rsid w:val="00B84300"/>
    <w:rsid w:val="00B86C1A"/>
    <w:rsid w:val="00B91C9D"/>
    <w:rsid w:val="00B97FE7"/>
    <w:rsid w:val="00BB54C5"/>
    <w:rsid w:val="00BC3460"/>
    <w:rsid w:val="00BC6960"/>
    <w:rsid w:val="00BF3202"/>
    <w:rsid w:val="00C00011"/>
    <w:rsid w:val="00C42BE3"/>
    <w:rsid w:val="00C93AA7"/>
    <w:rsid w:val="00CA4459"/>
    <w:rsid w:val="00CB3305"/>
    <w:rsid w:val="00CE2E53"/>
    <w:rsid w:val="00D01647"/>
    <w:rsid w:val="00D106A3"/>
    <w:rsid w:val="00D2567D"/>
    <w:rsid w:val="00D25C52"/>
    <w:rsid w:val="00D3161C"/>
    <w:rsid w:val="00D35AB1"/>
    <w:rsid w:val="00D4047A"/>
    <w:rsid w:val="00D65D76"/>
    <w:rsid w:val="00D71A82"/>
    <w:rsid w:val="00D71CB1"/>
    <w:rsid w:val="00D91D40"/>
    <w:rsid w:val="00DA392B"/>
    <w:rsid w:val="00DB18D4"/>
    <w:rsid w:val="00DB2FEE"/>
    <w:rsid w:val="00DC4024"/>
    <w:rsid w:val="00DF4055"/>
    <w:rsid w:val="00DF63A5"/>
    <w:rsid w:val="00E24896"/>
    <w:rsid w:val="00E70520"/>
    <w:rsid w:val="00E861BB"/>
    <w:rsid w:val="00E90524"/>
    <w:rsid w:val="00EA7066"/>
    <w:rsid w:val="00EB2FBD"/>
    <w:rsid w:val="00EC74E2"/>
    <w:rsid w:val="00EC7E30"/>
    <w:rsid w:val="00ED1E4F"/>
    <w:rsid w:val="00EF38F8"/>
    <w:rsid w:val="00F069EE"/>
    <w:rsid w:val="00F2646E"/>
    <w:rsid w:val="00F37E3D"/>
    <w:rsid w:val="00F61417"/>
    <w:rsid w:val="00F72626"/>
    <w:rsid w:val="00F7589F"/>
    <w:rsid w:val="00F951B6"/>
    <w:rsid w:val="00FA5103"/>
    <w:rsid w:val="00FB2CE9"/>
    <w:rsid w:val="00FB72A6"/>
    <w:rsid w:val="00FF1AB7"/>
    <w:rsid w:val="00FF2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2C662E-634A-4AB7-AE54-E41F967B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460"/>
    <w:rPr>
      <w:rFonts w:ascii="Arial" w:hAnsi="Arial"/>
      <w:sz w:val="22"/>
    </w:rPr>
  </w:style>
  <w:style w:type="paragraph" w:styleId="Heading1">
    <w:name w:val="heading 1"/>
    <w:basedOn w:val="Normal"/>
    <w:next w:val="Normal"/>
    <w:link w:val="Heading1Char"/>
    <w:uiPriority w:val="9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aliases w:val="Body"/>
    <w:basedOn w:val="Normal"/>
    <w:link w:val="BodyTextChar"/>
    <w:uiPriority w:val="99"/>
    <w:qFormat/>
    <w:rsid w:val="005E0320"/>
    <w:pPr>
      <w:ind w:firstLine="720"/>
    </w:pPr>
  </w:style>
  <w:style w:type="character" w:customStyle="1" w:styleId="BodyTextChar">
    <w:name w:val="Body Text Char"/>
    <w:aliases w:val="Body Char"/>
    <w:basedOn w:val="DefaultParagraphFont"/>
    <w:link w:val="BodyText"/>
    <w:uiPriority w:val="99"/>
    <w:rsid w:val="005E0320"/>
  </w:style>
  <w:style w:type="paragraph" w:styleId="BodyText2">
    <w:name w:val="Body Text 2"/>
    <w:aliases w:val="Body 2"/>
    <w:basedOn w:val="Normal"/>
    <w:link w:val="BodyText2Char"/>
    <w:uiPriority w:val="99"/>
    <w:rsid w:val="005529CE"/>
    <w:pPr>
      <w:spacing w:after="0" w:line="480" w:lineRule="auto"/>
      <w:ind w:firstLine="720"/>
    </w:pPr>
  </w:style>
  <w:style w:type="character" w:customStyle="1" w:styleId="BodyText2Char">
    <w:name w:val="Body Text 2 Char"/>
    <w:aliases w:val="Body 2 Char"/>
    <w:basedOn w:val="DefaultParagraphFont"/>
    <w:link w:val="BodyText2"/>
    <w:uiPriority w:val="99"/>
    <w:rsid w:val="005529CE"/>
  </w:style>
  <w:style w:type="paragraph" w:styleId="BodyText3">
    <w:name w:val="Body Text 3"/>
    <w:aliases w:val="Body 3"/>
    <w:basedOn w:val="Normal"/>
    <w:link w:val="BodyText3Char"/>
    <w:uiPriority w:val="99"/>
    <w:semiHidden/>
    <w:unhideWhenUsed/>
    <w:rsid w:val="005B47D0"/>
    <w:rPr>
      <w:szCs w:val="16"/>
    </w:rPr>
  </w:style>
  <w:style w:type="character" w:customStyle="1" w:styleId="BodyText3Char">
    <w:name w:val="Body Text 3 Char"/>
    <w:aliases w:val="Body 3 Char"/>
    <w:basedOn w:val="DefaultParagraphFont"/>
    <w:link w:val="BodyText3"/>
    <w:uiPriority w:val="99"/>
    <w:semiHidden/>
    <w:rsid w:val="005B47D0"/>
    <w:rPr>
      <w:szCs w:val="16"/>
    </w:rPr>
  </w:style>
  <w:style w:type="paragraph" w:styleId="BodyTextFirstIndent">
    <w:name w:val="Body Text First Indent"/>
    <w:aliases w:val="Body First Indent"/>
    <w:basedOn w:val="Normal"/>
    <w:link w:val="BodyTextFirstIndentChar"/>
    <w:uiPriority w:val="99"/>
    <w:qFormat/>
    <w:rsid w:val="005E0320"/>
    <w:pPr>
      <w:ind w:firstLine="1440"/>
    </w:pPr>
  </w:style>
  <w:style w:type="character" w:customStyle="1" w:styleId="BodyTextFirstIndentChar">
    <w:name w:val="Body Text First Indent Char"/>
    <w:aliases w:val="Body First Indent Char"/>
    <w:basedOn w:val="BodyTextChar"/>
    <w:link w:val="BodyTextFirstIndent"/>
    <w:uiPriority w:val="99"/>
    <w:rsid w:val="005E0320"/>
  </w:style>
  <w:style w:type="paragraph" w:styleId="BodyTextIndent">
    <w:name w:val="Body Text Indent"/>
    <w:aliases w:val="Body Indent"/>
    <w:basedOn w:val="Normal"/>
    <w:link w:val="BodyTextIndentChar"/>
    <w:uiPriority w:val="99"/>
    <w:qFormat/>
    <w:rsid w:val="005E0320"/>
    <w:pPr>
      <w:ind w:left="720"/>
    </w:pPr>
  </w:style>
  <w:style w:type="character" w:customStyle="1" w:styleId="BodyTextIndentChar">
    <w:name w:val="Body Text Indent Char"/>
    <w:aliases w:val="Body Indent Char"/>
    <w:basedOn w:val="DefaultParagraphFont"/>
    <w:link w:val="BodyTextIndent"/>
    <w:uiPriority w:val="99"/>
    <w:rsid w:val="005E0320"/>
  </w:style>
  <w:style w:type="paragraph" w:styleId="BodyTextFirstIndent2">
    <w:name w:val="Body Text First Indent 2"/>
    <w:aliases w:val="Body First Indent 2"/>
    <w:basedOn w:val="Normal"/>
    <w:link w:val="BodyTextFirstIndent2Char"/>
    <w:uiPriority w:val="99"/>
    <w:rsid w:val="00D35AB1"/>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D35AB1"/>
  </w:style>
  <w:style w:type="paragraph" w:customStyle="1" w:styleId="BodyTextNoIndent">
    <w:name w:val="Body Text No Indent"/>
    <w:aliases w:val="Body No Indent"/>
    <w:basedOn w:val="Normal"/>
    <w:link w:val="BodyTextNoIndentChar"/>
    <w:uiPriority w:val="99"/>
    <w:qFormat/>
    <w:rsid w:val="005E0320"/>
  </w:style>
  <w:style w:type="character" w:customStyle="1" w:styleId="BodyTextNoIndentChar">
    <w:name w:val="Body Text No Indent Char"/>
    <w:aliases w:val="Body No Indent Char"/>
    <w:basedOn w:val="DefaultParagraphFont"/>
    <w:link w:val="BodyTextNoIndent"/>
    <w:uiPriority w:val="99"/>
    <w:rsid w:val="005E0320"/>
  </w:style>
  <w:style w:type="paragraph" w:customStyle="1" w:styleId="BodyTextFirstIndent3">
    <w:name w:val="Body Text First Indent 3"/>
    <w:aliases w:val="Body First Indent 3"/>
    <w:basedOn w:val="Normal"/>
    <w:link w:val="BodyTextFirstIndent3Char"/>
    <w:uiPriority w:val="99"/>
    <w:rsid w:val="00D35AB1"/>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D35AB1"/>
  </w:style>
  <w:style w:type="paragraph" w:styleId="BodyTextIndent2">
    <w:name w:val="Body Text Indent 2"/>
    <w:aliases w:val="Body Indent 2"/>
    <w:basedOn w:val="Normal"/>
    <w:link w:val="BodyTextIndent2Char"/>
    <w:uiPriority w:val="99"/>
    <w:rsid w:val="00FF20CE"/>
    <w:pPr>
      <w:ind w:left="1440"/>
    </w:pPr>
  </w:style>
  <w:style w:type="character" w:customStyle="1" w:styleId="BodyTextIndent2Char">
    <w:name w:val="Body Text Indent 2 Char"/>
    <w:aliases w:val="Body Indent 2 Char"/>
    <w:basedOn w:val="DefaultParagraphFont"/>
    <w:link w:val="BodyTextIndent2"/>
    <w:uiPriority w:val="99"/>
    <w:rsid w:val="00FF20CE"/>
  </w:style>
  <w:style w:type="paragraph" w:styleId="BodyTextIndent3">
    <w:name w:val="Body Text Indent 3"/>
    <w:aliases w:val="Body Indent 3"/>
    <w:basedOn w:val="Normal"/>
    <w:link w:val="BodyTextIndent3Char"/>
    <w:uiPriority w:val="99"/>
    <w:rsid w:val="00FF20CE"/>
    <w:pPr>
      <w:ind w:left="2160"/>
    </w:pPr>
    <w:rPr>
      <w:szCs w:val="16"/>
    </w:rPr>
  </w:style>
  <w:style w:type="character" w:customStyle="1" w:styleId="BodyTextIndent3Char">
    <w:name w:val="Body Text Indent 3 Char"/>
    <w:aliases w:val="Body Indent 3 Char"/>
    <w:basedOn w:val="DefaultParagraphFont"/>
    <w:link w:val="BodyTextIndent3"/>
    <w:uiPriority w:val="99"/>
    <w:rsid w:val="00FF20CE"/>
    <w:rPr>
      <w:szCs w:val="16"/>
    </w:rPr>
  </w:style>
  <w:style w:type="paragraph" w:customStyle="1" w:styleId="BTHangIndent">
    <w:name w:val="BT Hang Indent"/>
    <w:aliases w:val="Body Hang"/>
    <w:basedOn w:val="Normal"/>
    <w:link w:val="BTHangIndentChar"/>
    <w:uiPriority w:val="99"/>
    <w:rsid w:val="00FF20CE"/>
    <w:pPr>
      <w:ind w:left="1440" w:hanging="1440"/>
    </w:pPr>
  </w:style>
  <w:style w:type="character" w:customStyle="1" w:styleId="BTHangIndentChar">
    <w:name w:val="BT Hang Indent Char"/>
    <w:aliases w:val="Body Hang Char"/>
    <w:basedOn w:val="DefaultParagraphFont"/>
    <w:link w:val="BTHangIndent"/>
    <w:uiPriority w:val="99"/>
    <w:rsid w:val="00FF20CE"/>
  </w:style>
  <w:style w:type="paragraph" w:customStyle="1" w:styleId="BTHangIndent2">
    <w:name w:val="BT Hang Indent 2"/>
    <w:aliases w:val="Body Hang 2"/>
    <w:basedOn w:val="Normal"/>
    <w:link w:val="BTHangIndent2Char"/>
    <w:uiPriority w:val="99"/>
    <w:rsid w:val="00FF20CE"/>
    <w:pPr>
      <w:ind w:left="2160" w:hanging="1440"/>
    </w:pPr>
  </w:style>
  <w:style w:type="character" w:customStyle="1" w:styleId="BTHangIndent2Char">
    <w:name w:val="BT Hang Indent 2 Char"/>
    <w:aliases w:val="Body Hang 2 Char"/>
    <w:basedOn w:val="DefaultParagraphFont"/>
    <w:link w:val="BTHangIndent2"/>
    <w:uiPriority w:val="99"/>
    <w:rsid w:val="00FF20CE"/>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5529CE"/>
  </w:style>
  <w:style w:type="paragraph" w:styleId="CommentText">
    <w:name w:val="annotation text"/>
    <w:basedOn w:val="Normal"/>
    <w:link w:val="CommentTextChar"/>
    <w:uiPriority w:val="99"/>
    <w:semiHidden/>
    <w:unhideWhenUsed/>
    <w:rsid w:val="00DC4024"/>
    <w:rPr>
      <w:sz w:val="20"/>
      <w:szCs w:val="20"/>
    </w:rPr>
  </w:style>
  <w:style w:type="character" w:customStyle="1" w:styleId="CommentTextChar">
    <w:name w:val="Comment Text Char"/>
    <w:basedOn w:val="DefaultParagraphFont"/>
    <w:link w:val="CommentText"/>
    <w:uiPriority w:val="99"/>
    <w:semiHidden/>
    <w:rsid w:val="00DC4024"/>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DC4024"/>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D106A3"/>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5529CE"/>
  </w:style>
  <w:style w:type="character" w:customStyle="1" w:styleId="Heading1Char">
    <w:name w:val="Heading 1 Char"/>
    <w:basedOn w:val="DefaultParagraphFont"/>
    <w:link w:val="Heading1"/>
    <w:uiPriority w:val="99"/>
    <w:rsid w:val="005E0320"/>
    <w:rPr>
      <w:rFonts w:eastAsiaTheme="majorEastAsia" w:cstheme="majorBidi"/>
      <w:b/>
      <w:bCs/>
      <w:szCs w:val="28"/>
    </w:rPr>
  </w:style>
  <w:style w:type="character" w:customStyle="1" w:styleId="Heading2Char">
    <w:name w:val="Heading 2 Char"/>
    <w:basedOn w:val="DefaultParagraphFont"/>
    <w:link w:val="Heading2"/>
    <w:uiPriority w:val="99"/>
    <w:rsid w:val="005E0320"/>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5E0320"/>
    <w:rPr>
      <w:rFonts w:eastAsiaTheme="majorEastAsia" w:cstheme="majorBidi"/>
      <w:b/>
      <w:bCs/>
    </w:rPr>
  </w:style>
  <w:style w:type="character" w:customStyle="1" w:styleId="Heading4Char">
    <w:name w:val="Heading 4 Char"/>
    <w:basedOn w:val="DefaultParagraphFont"/>
    <w:link w:val="Heading4"/>
    <w:uiPriority w:val="99"/>
    <w:semiHidden/>
    <w:rsid w:val="005E0320"/>
    <w:rPr>
      <w:rFonts w:eastAsiaTheme="majorEastAsia" w:cstheme="majorBidi"/>
      <w:bCs/>
      <w:iCs/>
    </w:rPr>
  </w:style>
  <w:style w:type="character" w:customStyle="1" w:styleId="Heading5Char">
    <w:name w:val="Heading 5 Char"/>
    <w:basedOn w:val="DefaultParagraphFont"/>
    <w:link w:val="Heading5"/>
    <w:uiPriority w:val="99"/>
    <w:semiHidden/>
    <w:rsid w:val="005E0320"/>
    <w:rPr>
      <w:rFonts w:eastAsiaTheme="majorEastAsia" w:cstheme="majorBidi"/>
    </w:rPr>
  </w:style>
  <w:style w:type="character" w:customStyle="1" w:styleId="Heading6Char">
    <w:name w:val="Heading 6 Char"/>
    <w:basedOn w:val="DefaultParagraphFont"/>
    <w:link w:val="Heading6"/>
    <w:uiPriority w:val="99"/>
    <w:semiHidden/>
    <w:rsid w:val="005E0320"/>
    <w:rPr>
      <w:rFonts w:eastAsiaTheme="majorEastAsia" w:cstheme="majorBidi"/>
      <w:iCs/>
      <w:u w:val="single"/>
    </w:rPr>
  </w:style>
  <w:style w:type="character" w:customStyle="1" w:styleId="Heading7Char">
    <w:name w:val="Heading 7 Char"/>
    <w:basedOn w:val="DefaultParagraphFont"/>
    <w:link w:val="Heading7"/>
    <w:uiPriority w:val="99"/>
    <w:semiHidden/>
    <w:rsid w:val="005E0320"/>
    <w:rPr>
      <w:rFonts w:eastAsiaTheme="majorEastAsia" w:cstheme="majorBidi"/>
      <w:b/>
      <w:iCs/>
    </w:rPr>
  </w:style>
  <w:style w:type="character" w:customStyle="1" w:styleId="Heading8Char">
    <w:name w:val="Heading 8 Char"/>
    <w:basedOn w:val="DefaultParagraphFont"/>
    <w:link w:val="Heading8"/>
    <w:uiPriority w:val="99"/>
    <w:semiHidden/>
    <w:rsid w:val="005E0320"/>
    <w:rPr>
      <w:rFonts w:eastAsiaTheme="majorEastAsia" w:cstheme="majorBidi"/>
      <w:b/>
      <w:szCs w:val="20"/>
    </w:rPr>
  </w:style>
  <w:style w:type="character" w:customStyle="1" w:styleId="Heading9Char">
    <w:name w:val="Heading 9 Char"/>
    <w:basedOn w:val="DefaultParagraphFont"/>
    <w:link w:val="Heading9"/>
    <w:uiPriority w:val="99"/>
    <w:semiHidden/>
    <w:rsid w:val="005E0320"/>
    <w:rPr>
      <w:rFonts w:eastAsiaTheme="majorEastAsia" w:cstheme="majorBidi"/>
      <w:iCs/>
      <w:szCs w:val="20"/>
    </w:rPr>
  </w:style>
  <w:style w:type="character" w:styleId="Hyperlink">
    <w:name w:val="Hyperlink"/>
    <w:basedOn w:val="DefaultParagraphFont"/>
    <w:uiPriority w:val="99"/>
    <w:semiHidden/>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semiHidden/>
    <w:unhideWhenUsed/>
    <w:rsid w:val="008C65E8"/>
    <w:rPr>
      <w:b/>
      <w:bCs/>
      <w:i/>
      <w:iCs/>
      <w:color w:val="auto"/>
    </w:rPr>
  </w:style>
  <w:style w:type="paragraph" w:styleId="IntenseQuote">
    <w:name w:val="Intense Quote"/>
    <w:basedOn w:val="Normal"/>
    <w:next w:val="Normal"/>
    <w:link w:val="IntenseQuoteChar"/>
    <w:uiPriority w:val="99"/>
    <w:semiHidden/>
    <w:unhideWhenUsed/>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5529CE"/>
    <w:rPr>
      <w:b/>
      <w:bCs/>
      <w:i/>
      <w:iCs/>
    </w:rPr>
  </w:style>
  <w:style w:type="character" w:styleId="IntenseReference">
    <w:name w:val="Intense Reference"/>
    <w:basedOn w:val="DefaultParagraphFont"/>
    <w:uiPriority w:val="99"/>
    <w:semiHidden/>
    <w:unhideWhenUsed/>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8C65E8"/>
    <w:rPr>
      <w:rFonts w:eastAsiaTheme="majorEastAsia" w:cstheme="majorBidi"/>
      <w:shd w:val="pct20" w:color="auto" w:fill="auto"/>
    </w:rPr>
  </w:style>
  <w:style w:type="paragraph" w:styleId="NoSpacing">
    <w:name w:val="No Spacing"/>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5E0320"/>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FF20CE"/>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5529CE"/>
  </w:style>
  <w:style w:type="paragraph" w:styleId="Subtitle">
    <w:name w:val="Subtitle"/>
    <w:basedOn w:val="Normal"/>
    <w:next w:val="Normal"/>
    <w:link w:val="SubtitleChar"/>
    <w:uiPriority w:val="99"/>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5E0320"/>
    <w:rPr>
      <w:rFonts w:eastAsiaTheme="majorEastAsia" w:cstheme="majorBidi"/>
      <w:iCs/>
    </w:rPr>
  </w:style>
  <w:style w:type="character" w:styleId="SubtleEmphasis">
    <w:name w:val="Subtle Emphasis"/>
    <w:basedOn w:val="DefaultParagraphFont"/>
    <w:uiPriority w:val="99"/>
    <w:semiHidden/>
    <w:unhideWhenUsed/>
    <w:rsid w:val="008C65E8"/>
    <w:rPr>
      <w:i/>
      <w:iCs/>
      <w:color w:val="auto"/>
    </w:rPr>
  </w:style>
  <w:style w:type="character" w:styleId="SubtleReference">
    <w:name w:val="Subtle Reference"/>
    <w:basedOn w:val="DefaultParagraphFont"/>
    <w:uiPriority w:val="99"/>
    <w:semiHidden/>
    <w:unhideWhenUsed/>
    <w:rsid w:val="008C65E8"/>
    <w:rPr>
      <w:smallCaps/>
      <w:color w:val="auto"/>
      <w:u w:val="single"/>
    </w:rPr>
  </w:style>
  <w:style w:type="paragraph" w:styleId="Title">
    <w:name w:val="Title"/>
    <w:basedOn w:val="Normal"/>
    <w:next w:val="Normal"/>
    <w:link w:val="TitleChar"/>
    <w:uiPriority w:val="99"/>
    <w:qFormat/>
    <w:rsid w:val="005E0320"/>
    <w:pPr>
      <w:keepNext/>
      <w:jc w:val="center"/>
    </w:pPr>
    <w:rPr>
      <w:rFonts w:eastAsiaTheme="majorEastAsia" w:cstheme="majorBidi"/>
      <w:b/>
      <w:szCs w:val="52"/>
    </w:rPr>
  </w:style>
  <w:style w:type="character" w:customStyle="1" w:styleId="TitleChar">
    <w:name w:val="Title Char"/>
    <w:basedOn w:val="DefaultParagraphFont"/>
    <w:link w:val="Title"/>
    <w:uiPriority w:val="99"/>
    <w:rsid w:val="005E0320"/>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er">
    <w:name w:val="footer"/>
    <w:basedOn w:val="Normal"/>
    <w:link w:val="FooterChar"/>
    <w:uiPriority w:val="99"/>
    <w:rsid w:val="00693944"/>
    <w:pPr>
      <w:tabs>
        <w:tab w:val="center" w:pos="4320"/>
        <w:tab w:val="right" w:pos="8640"/>
      </w:tabs>
      <w:spacing w:after="0"/>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693944"/>
    <w:rPr>
      <w:rFonts w:eastAsia="Times New Roman" w:cs="Times New Roman"/>
      <w:snapToGrid w:val="0"/>
      <w:szCs w:val="20"/>
    </w:rPr>
  </w:style>
  <w:style w:type="paragraph" w:styleId="ListParagraph">
    <w:name w:val="List Paragraph"/>
    <w:basedOn w:val="Normal"/>
    <w:uiPriority w:val="99"/>
    <w:rsid w:val="003F7729"/>
    <w:pPr>
      <w:ind w:left="720"/>
      <w:contextualSpacing/>
    </w:pPr>
  </w:style>
  <w:style w:type="character" w:styleId="PlaceholderText">
    <w:name w:val="Placeholder Text"/>
    <w:basedOn w:val="DefaultParagraphFont"/>
    <w:uiPriority w:val="99"/>
    <w:semiHidden/>
    <w:rsid w:val="00461EA0"/>
    <w:rPr>
      <w:color w:val="666666"/>
    </w:rPr>
  </w:style>
  <w:style w:type="paragraph" w:styleId="Revision">
    <w:name w:val="Revision"/>
    <w:hidden/>
    <w:uiPriority w:val="99"/>
    <w:semiHidden/>
    <w:rsid w:val="00FA5103"/>
    <w:pPr>
      <w:spacing w:after="0"/>
    </w:pPr>
    <w:rPr>
      <w:rFonts w:ascii="Arial" w:hAnsi="Arial"/>
      <w:sz w:val="22"/>
    </w:rPr>
  </w:style>
  <w:style w:type="paragraph" w:styleId="FootnoteText">
    <w:name w:val="footnote text"/>
    <w:basedOn w:val="Normal"/>
    <w:link w:val="FootnoteTextChar"/>
    <w:uiPriority w:val="99"/>
    <w:semiHidden/>
    <w:unhideWhenUsed/>
    <w:rsid w:val="00EC7E30"/>
    <w:pPr>
      <w:spacing w:after="0"/>
    </w:pPr>
    <w:rPr>
      <w:sz w:val="20"/>
      <w:szCs w:val="20"/>
    </w:rPr>
  </w:style>
  <w:style w:type="character" w:customStyle="1" w:styleId="FootnoteTextChar">
    <w:name w:val="Footnote Text Char"/>
    <w:basedOn w:val="DefaultParagraphFont"/>
    <w:link w:val="FootnoteText"/>
    <w:uiPriority w:val="99"/>
    <w:semiHidden/>
    <w:rsid w:val="00EC7E30"/>
    <w:rPr>
      <w:rFonts w:ascii="Arial" w:hAnsi="Arial"/>
      <w:sz w:val="20"/>
      <w:szCs w:val="20"/>
    </w:rPr>
  </w:style>
  <w:style w:type="character" w:styleId="FootnoteReference">
    <w:name w:val="footnote reference"/>
    <w:basedOn w:val="DefaultParagraphFont"/>
    <w:uiPriority w:val="99"/>
    <w:semiHidden/>
    <w:unhideWhenUsed/>
    <w:rsid w:val="00EC7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E7926-BD33-4AFA-8FD8-03F892A1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2642</Words>
  <Characters>13530</Characters>
  <Application>Microsoft Office Word</Application>
  <DocSecurity>0</DocSecurity>
  <Lines>237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cp:revision>1</cp:revision>
  <dcterms:created xsi:type="dcterms:W3CDTF">2026-05-16T22:56:54Z</dcterms:created>
  <dcterms:modified xsi:type="dcterms:W3CDTF">2026-05-16T22:56:54Z</dcterms:modified>
</cp:coreProperties>
</file>