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0 -->
  <w:body>
    <w:p w:rsidR="00A71E26" w:rsidRPr="00A71E26" w:rsidP="00A71E26" w14:paraId="463000BC" w14:textId="77777777">
      <w:pPr>
        <w:keepNext/>
        <w:keepLines/>
        <w:jc w:val="center"/>
        <w:rPr>
          <w:b/>
          <w:bCs/>
          <w:sz w:val="22"/>
          <w:szCs w:val="22"/>
        </w:rPr>
      </w:pPr>
      <w:r w:rsidRPr="00A71E26">
        <w:rPr>
          <w:b/>
          <w:bCs/>
          <w:sz w:val="22"/>
          <w:szCs w:val="22"/>
        </w:rPr>
        <w:t>Technical Corrections and Guidance:</w:t>
      </w:r>
    </w:p>
    <w:p w:rsidR="0042361D" w:rsidP="00A71E26" w14:paraId="72CE24DC" w14:textId="3A9906E3">
      <w:pPr>
        <w:keepNext/>
        <w:keepLines/>
        <w:jc w:val="center"/>
        <w:rPr>
          <w:sz w:val="22"/>
          <w:szCs w:val="22"/>
        </w:rPr>
      </w:pPr>
      <w:r w:rsidRPr="00A71E26">
        <w:rPr>
          <w:b/>
          <w:bCs/>
          <w:sz w:val="22"/>
          <w:szCs w:val="22"/>
        </w:rPr>
        <w:t>OBBBA Amendments to Section 1202</w:t>
      </w:r>
    </w:p>
    <w:p w:rsidR="00A71E26" w:rsidP="00A71E26" w14:paraId="635F5842" w14:textId="77777777">
      <w:pPr>
        <w:keepNext/>
        <w:keepLines/>
        <w:rPr>
          <w:sz w:val="22"/>
          <w:szCs w:val="22"/>
        </w:rPr>
      </w:pPr>
    </w:p>
    <w:p w:rsidR="000F60B2" w:rsidP="006D029A" w14:paraId="776B5476" w14:textId="450A9C99">
      <w:pPr>
        <w:numPr>
          <w:ilvl w:val="1"/>
          <w:numId w:val="2"/>
        </w:numPr>
        <w:rPr>
          <w:sz w:val="22"/>
          <w:szCs w:val="22"/>
        </w:rPr>
      </w:pPr>
      <w:r>
        <w:rPr>
          <w:sz w:val="22"/>
          <w:szCs w:val="22"/>
        </w:rPr>
        <w:t>Background</w:t>
      </w:r>
    </w:p>
    <w:p w:rsidR="0042361D" w:rsidP="006D029A" w14:paraId="326F2734" w14:textId="77777777">
      <w:pPr>
        <w:ind w:left="1701"/>
        <w:rPr>
          <w:sz w:val="22"/>
          <w:szCs w:val="22"/>
        </w:rPr>
      </w:pPr>
    </w:p>
    <w:p w:rsidR="00594B05" w:rsidP="006D029A" w14:paraId="4BC0EE5B" w14:textId="3E33A35D">
      <w:pPr>
        <w:ind w:firstLine="567"/>
        <w:rPr>
          <w:sz w:val="22"/>
          <w:szCs w:val="22"/>
        </w:rPr>
      </w:pPr>
      <w:r>
        <w:rPr>
          <w:sz w:val="22"/>
          <w:szCs w:val="22"/>
        </w:rPr>
        <w:t>Section 1202</w:t>
      </w:r>
      <w:r w:rsidRPr="00FA4C42" w:rsidR="00F859F6">
        <w:rPr>
          <w:sz w:val="22"/>
          <w:szCs w:val="22"/>
        </w:rPr>
        <w:t xml:space="preserve"> of the Internal Revenue Code of 1986, as amended (hereinafter, the “Code”)</w:t>
      </w:r>
      <w:r>
        <w:rPr>
          <w:sz w:val="22"/>
          <w:szCs w:val="22"/>
        </w:rPr>
        <w:t>, originally enacted in 1993</w:t>
      </w:r>
      <w:r>
        <w:rPr>
          <w:rStyle w:val="FootnoteReference"/>
          <w:sz w:val="22"/>
          <w:szCs w:val="22"/>
        </w:rPr>
        <w:footnoteReference w:id="2"/>
      </w:r>
      <w:r>
        <w:rPr>
          <w:sz w:val="22"/>
          <w:szCs w:val="22"/>
        </w:rPr>
        <w:t xml:space="preserve"> and amended over the years,</w:t>
      </w:r>
      <w:r>
        <w:rPr>
          <w:rStyle w:val="FootnoteReference"/>
          <w:sz w:val="22"/>
          <w:szCs w:val="22"/>
        </w:rPr>
        <w:footnoteReference w:id="3"/>
      </w:r>
      <w:r>
        <w:rPr>
          <w:sz w:val="22"/>
          <w:szCs w:val="22"/>
        </w:rPr>
        <w:t xml:space="preserve"> provides for a partial or complete exclusion of gain from the sale of </w:t>
      </w:r>
      <w:r w:rsidR="0049216B">
        <w:rPr>
          <w:sz w:val="22"/>
          <w:szCs w:val="22"/>
        </w:rPr>
        <w:t>“</w:t>
      </w:r>
      <w:r w:rsidRPr="00600CFE">
        <w:rPr>
          <w:sz w:val="22"/>
          <w:szCs w:val="22"/>
        </w:rPr>
        <w:t>Qualified Small Business Stock” (hereinafter, “QSBS” or “QSB stock”)</w:t>
      </w:r>
      <w:r w:rsidR="00EE1BEA">
        <w:rPr>
          <w:sz w:val="22"/>
          <w:szCs w:val="22"/>
        </w:rPr>
        <w:t xml:space="preserve">.  In order for taxpayers to get the benefit of the exclusion under section 1202, the corporation </w:t>
      </w:r>
      <w:r w:rsidR="002D1024">
        <w:rPr>
          <w:sz w:val="22"/>
          <w:szCs w:val="22"/>
        </w:rPr>
        <w:t xml:space="preserve">must </w:t>
      </w:r>
      <w:r w:rsidR="00EE1BEA">
        <w:rPr>
          <w:sz w:val="22"/>
          <w:szCs w:val="22"/>
        </w:rPr>
        <w:t>meet certain qualifications</w:t>
      </w:r>
      <w:r w:rsidR="0049216B">
        <w:rPr>
          <w:sz w:val="22"/>
          <w:szCs w:val="22"/>
        </w:rPr>
        <w:t xml:space="preserve"> to be a qualified small business</w:t>
      </w:r>
      <w:r w:rsidR="00EE1BEA">
        <w:rPr>
          <w:sz w:val="22"/>
          <w:szCs w:val="22"/>
        </w:rPr>
        <w:t xml:space="preserve">, most notably the </w:t>
      </w:r>
      <w:r w:rsidR="0049216B">
        <w:rPr>
          <w:sz w:val="22"/>
          <w:szCs w:val="22"/>
        </w:rPr>
        <w:t xml:space="preserve">“Aggregate </w:t>
      </w:r>
      <w:r w:rsidR="00EE1BEA">
        <w:rPr>
          <w:sz w:val="22"/>
          <w:szCs w:val="22"/>
        </w:rPr>
        <w:t>Gross Asset Requirement</w:t>
      </w:r>
      <w:r>
        <w:rPr>
          <w:sz w:val="22"/>
          <w:szCs w:val="22"/>
        </w:rPr>
        <w:t>”</w:t>
      </w:r>
      <w:r w:rsidR="002D1024">
        <w:rPr>
          <w:sz w:val="22"/>
          <w:szCs w:val="22"/>
        </w:rPr>
        <w:t xml:space="preserve"> (discussed and defined below)</w:t>
      </w:r>
      <w:r w:rsidR="00EE1BEA">
        <w:rPr>
          <w:sz w:val="22"/>
          <w:szCs w:val="22"/>
        </w:rPr>
        <w:t xml:space="preserve">, and each </w:t>
      </w:r>
      <w:r w:rsidR="002D1024">
        <w:rPr>
          <w:sz w:val="22"/>
          <w:szCs w:val="22"/>
        </w:rPr>
        <w:t>shareholder must meet certain holding period requirements with respect to the stock (e.g., 5-year holding period)</w:t>
      </w:r>
      <w:r>
        <w:rPr>
          <w:sz w:val="22"/>
          <w:szCs w:val="22"/>
        </w:rPr>
        <w:t xml:space="preserve"> in order for the realized gain to be </w:t>
      </w:r>
      <w:r w:rsidR="0049216B">
        <w:rPr>
          <w:sz w:val="22"/>
          <w:szCs w:val="22"/>
        </w:rPr>
        <w:t>eligible for exclusion</w:t>
      </w:r>
      <w:r>
        <w:rPr>
          <w:sz w:val="22"/>
          <w:szCs w:val="22"/>
        </w:rPr>
        <w:t xml:space="preserve"> (“eligible gain</w:t>
      </w:r>
      <w:r w:rsidR="0049216B">
        <w:rPr>
          <w:sz w:val="22"/>
          <w:szCs w:val="22"/>
        </w:rPr>
        <w:t>,</w:t>
      </w:r>
      <w:r>
        <w:rPr>
          <w:sz w:val="22"/>
          <w:szCs w:val="22"/>
        </w:rPr>
        <w:t>”</w:t>
      </w:r>
      <w:r w:rsidR="0049216B">
        <w:rPr>
          <w:sz w:val="22"/>
          <w:szCs w:val="22"/>
        </w:rPr>
        <w:t xml:space="preserve"> defined below</w:t>
      </w:r>
      <w:r>
        <w:rPr>
          <w:sz w:val="22"/>
          <w:szCs w:val="22"/>
        </w:rPr>
        <w:t>)</w:t>
      </w:r>
      <w:r w:rsidR="002D1024">
        <w:rPr>
          <w:sz w:val="22"/>
          <w:szCs w:val="22"/>
        </w:rPr>
        <w:t xml:space="preserve">.  </w:t>
      </w:r>
      <w:r w:rsidR="00507BD2">
        <w:rPr>
          <w:sz w:val="22"/>
          <w:szCs w:val="22"/>
        </w:rPr>
        <w:t>T</w:t>
      </w:r>
      <w:r w:rsidR="002D1024">
        <w:rPr>
          <w:sz w:val="22"/>
          <w:szCs w:val="22"/>
        </w:rPr>
        <w:t>he amount of exclusion afforded a taxpayer is limited by the “Per-Issuer Limitation” (discussed and defined below).</w:t>
      </w:r>
      <w:r>
        <w:rPr>
          <w:sz w:val="22"/>
          <w:szCs w:val="22"/>
        </w:rPr>
        <w:t xml:space="preserve">  Further, the percentage of exclusion (i.e., 50%, 75%, or 100%) afforded </w:t>
      </w:r>
      <w:r w:rsidR="002C4F61">
        <w:rPr>
          <w:sz w:val="22"/>
          <w:szCs w:val="22"/>
        </w:rPr>
        <w:t>each</w:t>
      </w:r>
      <w:r>
        <w:rPr>
          <w:sz w:val="22"/>
          <w:szCs w:val="22"/>
        </w:rPr>
        <w:t xml:space="preserve"> taxpayer depends on the date the taxpayer acquired the QSB stock from the issuing corporation.</w:t>
      </w:r>
    </w:p>
    <w:p w:rsidR="00FE79AA" w:rsidP="006D029A" w14:paraId="6380C49F" w14:textId="77777777">
      <w:pPr>
        <w:ind w:firstLine="567"/>
        <w:rPr>
          <w:sz w:val="22"/>
          <w:szCs w:val="22"/>
        </w:rPr>
      </w:pPr>
    </w:p>
    <w:p w:rsidR="00BB695C" w:rsidP="006D029A" w14:paraId="38470C14" w14:textId="4799E791">
      <w:pPr>
        <w:ind w:firstLine="567"/>
        <w:rPr>
          <w:sz w:val="22"/>
          <w:szCs w:val="22"/>
        </w:rPr>
      </w:pPr>
      <w:bookmarkStart w:id="0" w:name="_Hlk208665550"/>
      <w:r>
        <w:rPr>
          <w:sz w:val="22"/>
          <w:szCs w:val="22"/>
        </w:rPr>
        <w:t>On July 4, 2025</w:t>
      </w:r>
      <w:r w:rsidR="00B5457A">
        <w:rPr>
          <w:sz w:val="22"/>
          <w:szCs w:val="22"/>
        </w:rPr>
        <w:t>, the</w:t>
      </w:r>
      <w:r w:rsidR="00F859F6">
        <w:rPr>
          <w:sz w:val="22"/>
          <w:szCs w:val="22"/>
        </w:rPr>
        <w:t xml:space="preserve"> “</w:t>
      </w:r>
      <w:r w:rsidRPr="00A566B3">
        <w:rPr>
          <w:sz w:val="22"/>
          <w:szCs w:val="22"/>
        </w:rPr>
        <w:t>To provide for reconciliation pursuant to title II of H. Con. Res. 14</w:t>
      </w:r>
      <w:r w:rsidR="00B5457A">
        <w:rPr>
          <w:sz w:val="22"/>
          <w:szCs w:val="22"/>
        </w:rPr>
        <w:t>”</w:t>
      </w:r>
      <w:r>
        <w:rPr>
          <w:rStyle w:val="FootnoteReference"/>
          <w:sz w:val="22"/>
          <w:szCs w:val="22"/>
        </w:rPr>
        <w:footnoteReference w:id="4"/>
      </w:r>
      <w:r w:rsidR="00F859F6">
        <w:rPr>
          <w:sz w:val="22"/>
          <w:szCs w:val="22"/>
        </w:rPr>
        <w:t xml:space="preserve"> </w:t>
      </w:r>
      <w:r w:rsidR="00590857">
        <w:rPr>
          <w:sz w:val="22"/>
          <w:szCs w:val="22"/>
        </w:rPr>
        <w:t xml:space="preserve">act, more commonly known as the One Big Beautiful Bill Act </w:t>
      </w:r>
      <w:r w:rsidR="00F859F6">
        <w:rPr>
          <w:sz w:val="22"/>
          <w:szCs w:val="22"/>
        </w:rPr>
        <w:t xml:space="preserve">(“OBBBA”) </w:t>
      </w:r>
      <w:r w:rsidR="001224E3">
        <w:rPr>
          <w:sz w:val="22"/>
          <w:szCs w:val="22"/>
        </w:rPr>
        <w:t>amend</w:t>
      </w:r>
      <w:r w:rsidR="00590857">
        <w:rPr>
          <w:sz w:val="22"/>
          <w:szCs w:val="22"/>
        </w:rPr>
        <w:t>ed</w:t>
      </w:r>
      <w:r w:rsidR="001224E3">
        <w:rPr>
          <w:sz w:val="22"/>
          <w:szCs w:val="22"/>
        </w:rPr>
        <w:t xml:space="preserve"> section 1202 in a number of significant ways.</w:t>
      </w:r>
      <w:r>
        <w:rPr>
          <w:rStyle w:val="FootnoteReference"/>
          <w:sz w:val="22"/>
          <w:szCs w:val="22"/>
        </w:rPr>
        <w:footnoteReference w:id="5"/>
      </w:r>
      <w:r w:rsidR="001224E3">
        <w:rPr>
          <w:sz w:val="22"/>
          <w:szCs w:val="22"/>
        </w:rPr>
        <w:t xml:space="preserve">  It changes</w:t>
      </w:r>
      <w:r w:rsidR="002C4F61">
        <w:rPr>
          <w:sz w:val="22"/>
          <w:szCs w:val="22"/>
        </w:rPr>
        <w:t xml:space="preserve"> the holding period required for realized gain on the sale of QSB stock to be considered </w:t>
      </w:r>
      <w:r w:rsidR="001224E3">
        <w:rPr>
          <w:sz w:val="22"/>
          <w:szCs w:val="22"/>
        </w:rPr>
        <w:t>the eligible gain</w:t>
      </w:r>
      <w:r w:rsidR="008A1778">
        <w:rPr>
          <w:sz w:val="22"/>
          <w:szCs w:val="22"/>
        </w:rPr>
        <w:t xml:space="preserve"> </w:t>
      </w:r>
      <w:r w:rsidR="001224E3">
        <w:rPr>
          <w:sz w:val="22"/>
          <w:szCs w:val="22"/>
        </w:rPr>
        <w:t>from</w:t>
      </w:r>
      <w:r w:rsidR="009C7A94">
        <w:rPr>
          <w:sz w:val="22"/>
          <w:szCs w:val="22"/>
        </w:rPr>
        <w:t xml:space="preserve"> </w:t>
      </w:r>
      <w:r w:rsidR="002C1557">
        <w:rPr>
          <w:sz w:val="22"/>
          <w:szCs w:val="22"/>
        </w:rPr>
        <w:t xml:space="preserve">just </w:t>
      </w:r>
      <w:r w:rsidR="001224E3">
        <w:rPr>
          <w:sz w:val="22"/>
          <w:szCs w:val="22"/>
        </w:rPr>
        <w:t>5</w:t>
      </w:r>
      <w:r w:rsidR="002C1557">
        <w:rPr>
          <w:sz w:val="22"/>
          <w:szCs w:val="22"/>
        </w:rPr>
        <w:t xml:space="preserve"> years</w:t>
      </w:r>
      <w:r w:rsidR="001224E3">
        <w:rPr>
          <w:sz w:val="22"/>
          <w:szCs w:val="22"/>
        </w:rPr>
        <w:t xml:space="preserve"> to a three</w:t>
      </w:r>
      <w:r w:rsidR="008A1778">
        <w:rPr>
          <w:sz w:val="22"/>
          <w:szCs w:val="22"/>
        </w:rPr>
        <w:t>-tiered</w:t>
      </w:r>
      <w:r w:rsidR="001224E3">
        <w:rPr>
          <w:sz w:val="22"/>
          <w:szCs w:val="22"/>
        </w:rPr>
        <w:t xml:space="preserve"> structure to include a 3- and 4- year</w:t>
      </w:r>
      <w:r w:rsidR="009C7A94">
        <w:rPr>
          <w:sz w:val="22"/>
          <w:szCs w:val="22"/>
        </w:rPr>
        <w:t xml:space="preserve"> holding period</w:t>
      </w:r>
      <w:r w:rsidR="002C4F61">
        <w:rPr>
          <w:sz w:val="22"/>
          <w:szCs w:val="22"/>
        </w:rPr>
        <w:t>s</w:t>
      </w:r>
      <w:r w:rsidR="009C7A94">
        <w:rPr>
          <w:sz w:val="22"/>
          <w:szCs w:val="22"/>
        </w:rPr>
        <w:t xml:space="preserve">.  To that end, </w:t>
      </w:r>
      <w:r w:rsidR="002C1557">
        <w:rPr>
          <w:sz w:val="22"/>
          <w:szCs w:val="22"/>
        </w:rPr>
        <w:t xml:space="preserve">QSB </w:t>
      </w:r>
      <w:r w:rsidR="00B85FD7">
        <w:rPr>
          <w:sz w:val="22"/>
          <w:szCs w:val="22"/>
        </w:rPr>
        <w:t xml:space="preserve">stock </w:t>
      </w:r>
      <w:r w:rsidR="002C1557">
        <w:rPr>
          <w:sz w:val="22"/>
          <w:szCs w:val="22"/>
        </w:rPr>
        <w:t>with shorter</w:t>
      </w:r>
      <w:r w:rsidR="008A1778">
        <w:rPr>
          <w:sz w:val="22"/>
          <w:szCs w:val="22"/>
        </w:rPr>
        <w:t xml:space="preserve"> holding periods will have a 50% and 75% exclusion, respectively.</w:t>
      </w:r>
      <w:r w:rsidR="002C4F61">
        <w:rPr>
          <w:sz w:val="22"/>
          <w:szCs w:val="22"/>
        </w:rPr>
        <w:t xml:space="preserve">  </w:t>
      </w:r>
      <w:r w:rsidR="008A1778">
        <w:rPr>
          <w:sz w:val="22"/>
          <w:szCs w:val="22"/>
        </w:rPr>
        <w:t xml:space="preserve">OBBBA also </w:t>
      </w:r>
      <w:r w:rsidR="00F9719D">
        <w:rPr>
          <w:sz w:val="22"/>
          <w:szCs w:val="22"/>
        </w:rPr>
        <w:t>increases</w:t>
      </w:r>
      <w:r w:rsidR="007E2572">
        <w:rPr>
          <w:sz w:val="22"/>
          <w:szCs w:val="22"/>
        </w:rPr>
        <w:t>: (i)</w:t>
      </w:r>
      <w:r w:rsidR="00F9719D">
        <w:rPr>
          <w:sz w:val="22"/>
          <w:szCs w:val="22"/>
        </w:rPr>
        <w:t xml:space="preserve"> the </w:t>
      </w:r>
      <w:r w:rsidR="002C1557">
        <w:rPr>
          <w:sz w:val="22"/>
          <w:szCs w:val="22"/>
        </w:rPr>
        <w:t>Aggregate Gross Asset Requirement</w:t>
      </w:r>
      <w:r w:rsidR="002C4F61">
        <w:rPr>
          <w:sz w:val="22"/>
          <w:szCs w:val="22"/>
        </w:rPr>
        <w:t xml:space="preserve"> from $50 million to $75 million (with inflation adjustments)</w:t>
      </w:r>
      <w:r w:rsidR="007E2572">
        <w:rPr>
          <w:sz w:val="22"/>
          <w:szCs w:val="22"/>
        </w:rPr>
        <w:t>,</w:t>
      </w:r>
      <w:r w:rsidR="002C1557">
        <w:rPr>
          <w:sz w:val="22"/>
          <w:szCs w:val="22"/>
        </w:rPr>
        <w:t xml:space="preserve"> and</w:t>
      </w:r>
      <w:r w:rsidR="007E2572">
        <w:rPr>
          <w:sz w:val="22"/>
          <w:szCs w:val="22"/>
        </w:rPr>
        <w:t xml:space="preserve"> (ii)</w:t>
      </w:r>
      <w:r w:rsidR="002C4F61">
        <w:rPr>
          <w:sz w:val="22"/>
          <w:szCs w:val="22"/>
        </w:rPr>
        <w:t xml:space="preserve"> the</w:t>
      </w:r>
      <w:r w:rsidR="002C1557">
        <w:rPr>
          <w:sz w:val="22"/>
          <w:szCs w:val="22"/>
        </w:rPr>
        <w:t xml:space="preserve"> </w:t>
      </w:r>
      <w:r w:rsidR="00BD6134">
        <w:rPr>
          <w:sz w:val="22"/>
          <w:szCs w:val="22"/>
        </w:rPr>
        <w:t>“Per</w:t>
      </w:r>
      <w:r w:rsidR="007E2572">
        <w:rPr>
          <w:sz w:val="22"/>
          <w:szCs w:val="22"/>
        </w:rPr>
        <w:t>-</w:t>
      </w:r>
      <w:r w:rsidR="00BD6134">
        <w:rPr>
          <w:sz w:val="22"/>
          <w:szCs w:val="22"/>
        </w:rPr>
        <w:t>Taxpayer Limitation”</w:t>
      </w:r>
      <w:r w:rsidR="002C4F61">
        <w:rPr>
          <w:sz w:val="22"/>
          <w:szCs w:val="22"/>
        </w:rPr>
        <w:t xml:space="preserve"> (defined and discussed later)</w:t>
      </w:r>
      <w:r w:rsidR="00BD6134">
        <w:rPr>
          <w:sz w:val="22"/>
          <w:szCs w:val="22"/>
        </w:rPr>
        <w:t xml:space="preserve">  in the Per-Issuer Limitation</w:t>
      </w:r>
      <w:r w:rsidR="002C1557">
        <w:rPr>
          <w:sz w:val="22"/>
          <w:szCs w:val="22"/>
        </w:rPr>
        <w:t xml:space="preserve"> </w:t>
      </w:r>
      <w:r w:rsidR="002C4F61">
        <w:rPr>
          <w:sz w:val="22"/>
          <w:szCs w:val="22"/>
        </w:rPr>
        <w:t>from $10 million to $15 million (with inflation adjustments).</w:t>
      </w:r>
      <w:bookmarkEnd w:id="0"/>
    </w:p>
    <w:p w:rsidR="00BB695C" w:rsidP="006D029A" w14:paraId="349C9A5B" w14:textId="77777777">
      <w:pPr>
        <w:ind w:left="1134"/>
        <w:rPr>
          <w:sz w:val="22"/>
          <w:szCs w:val="22"/>
        </w:rPr>
      </w:pPr>
    </w:p>
    <w:p w:rsidR="00EE7DDF" w:rsidP="006D029A" w14:paraId="2B19F8B9" w14:textId="4CB725F7">
      <w:pPr>
        <w:numPr>
          <w:ilvl w:val="1"/>
          <w:numId w:val="2"/>
        </w:numPr>
        <w:rPr>
          <w:sz w:val="22"/>
          <w:szCs w:val="22"/>
        </w:rPr>
      </w:pPr>
      <w:r>
        <w:rPr>
          <w:sz w:val="22"/>
          <w:szCs w:val="22"/>
        </w:rPr>
        <w:t>Technical Correction</w:t>
      </w:r>
    </w:p>
    <w:p w:rsidR="00EE7DDF" w:rsidP="006D029A" w14:paraId="5CFC7515" w14:textId="77777777">
      <w:pPr>
        <w:ind w:left="567"/>
        <w:rPr>
          <w:sz w:val="22"/>
          <w:szCs w:val="22"/>
        </w:rPr>
      </w:pPr>
    </w:p>
    <w:p w:rsidR="00EE7DDF" w:rsidP="006D029A" w14:paraId="6F02F607" w14:textId="0F784AA2">
      <w:pPr>
        <w:numPr>
          <w:ilvl w:val="2"/>
          <w:numId w:val="2"/>
        </w:numPr>
        <w:rPr>
          <w:sz w:val="22"/>
          <w:szCs w:val="22"/>
        </w:rPr>
      </w:pPr>
      <w:r>
        <w:rPr>
          <w:sz w:val="22"/>
          <w:szCs w:val="22"/>
        </w:rPr>
        <w:t>OBBBA Amendment</w:t>
      </w:r>
    </w:p>
    <w:p w:rsidR="00EE7DDF" w:rsidP="006D029A" w14:paraId="0F6A61D5" w14:textId="77777777">
      <w:pPr>
        <w:ind w:firstLine="720"/>
        <w:rPr>
          <w:sz w:val="22"/>
          <w:szCs w:val="22"/>
        </w:rPr>
      </w:pPr>
    </w:p>
    <w:p w:rsidR="00EE7DDF" w:rsidP="006D029A" w14:paraId="0121B918" w14:textId="10510646">
      <w:pPr>
        <w:ind w:firstLine="720"/>
        <w:rPr>
          <w:sz w:val="22"/>
          <w:szCs w:val="22"/>
        </w:rPr>
      </w:pPr>
      <w:r w:rsidRPr="00EE7DDF">
        <w:rPr>
          <w:sz w:val="22"/>
          <w:szCs w:val="22"/>
        </w:rPr>
        <w:t>OBBBA adds an inflation adjustment increase to the Aggregate Gross Asset Requirement.</w:t>
      </w:r>
      <w:r>
        <w:rPr>
          <w:sz w:val="22"/>
          <w:szCs w:val="22"/>
          <w:vertAlign w:val="superscript"/>
        </w:rPr>
        <w:footnoteReference w:id="6"/>
      </w:r>
      <w:r w:rsidRPr="00EE7DDF">
        <w:rPr>
          <w:sz w:val="22"/>
          <w:szCs w:val="22"/>
        </w:rPr>
        <w:t xml:space="preserve">  As enacted, OBBBA makes this amendment to “section 1202(b)” (the subsection is titled “Per</w:t>
      </w:r>
      <w:r w:rsidRPr="00EE7DDF">
        <w:rPr>
          <w:sz w:val="22"/>
          <w:szCs w:val="22"/>
        </w:rPr>
        <w:noBreakHyphen/>
        <w:t xml:space="preserve">Issuer Limitation on Taxpayer’s Eligible Gain”) when it should be to “section 1202(d) (the </w:t>
      </w:r>
      <w:r w:rsidRPr="00EE7DDF">
        <w:rPr>
          <w:sz w:val="22"/>
          <w:szCs w:val="22"/>
        </w:rPr>
        <w:t>subsection is titled “Qualified Small Business,” which includes the Aggregate Gross Asset Requirement).</w:t>
      </w:r>
      <w:r>
        <w:rPr>
          <w:sz w:val="22"/>
          <w:szCs w:val="22"/>
          <w:vertAlign w:val="superscript"/>
        </w:rPr>
        <w:footnoteReference w:id="7"/>
      </w:r>
      <w:r w:rsidRPr="00EE7DDF">
        <w:rPr>
          <w:sz w:val="22"/>
          <w:szCs w:val="22"/>
        </w:rPr>
        <w:t xml:space="preserve">  This makes the reference to “paragraphs (1)(A) and (1)(B)” in the text make sense.</w:t>
      </w:r>
    </w:p>
    <w:p w:rsidR="00EE7DDF" w:rsidP="006D029A" w14:paraId="1F86C56F" w14:textId="77777777">
      <w:pPr>
        <w:rPr>
          <w:sz w:val="22"/>
          <w:szCs w:val="22"/>
        </w:rPr>
      </w:pPr>
    </w:p>
    <w:p w:rsidR="00EE7DDF" w:rsidP="006D029A" w14:paraId="1D42A501" w14:textId="15C39D4F">
      <w:pPr>
        <w:numPr>
          <w:ilvl w:val="2"/>
          <w:numId w:val="2"/>
        </w:numPr>
        <w:rPr>
          <w:sz w:val="22"/>
          <w:szCs w:val="22"/>
        </w:rPr>
      </w:pPr>
      <w:r>
        <w:rPr>
          <w:sz w:val="22"/>
          <w:szCs w:val="22"/>
        </w:rPr>
        <w:t>Solution</w:t>
      </w:r>
    </w:p>
    <w:p w:rsidR="00EE7DDF" w:rsidP="006D029A" w14:paraId="2CAA5D94" w14:textId="77777777">
      <w:pPr>
        <w:rPr>
          <w:sz w:val="22"/>
          <w:szCs w:val="22"/>
        </w:rPr>
      </w:pPr>
    </w:p>
    <w:p w:rsidR="00EE7DDF" w:rsidP="006D029A" w14:paraId="1C3C7AC5" w14:textId="54AA31CC">
      <w:pPr>
        <w:ind w:firstLine="567"/>
        <w:rPr>
          <w:sz w:val="22"/>
          <w:szCs w:val="22"/>
        </w:rPr>
      </w:pPr>
      <w:r w:rsidRPr="00FC206F">
        <w:rPr>
          <w:sz w:val="22"/>
          <w:szCs w:val="22"/>
        </w:rPr>
        <w:t>Make a technical correction to section 70431(</w:t>
      </w:r>
      <w:r>
        <w:rPr>
          <w:sz w:val="22"/>
          <w:szCs w:val="22"/>
        </w:rPr>
        <w:t>e</w:t>
      </w:r>
      <w:r w:rsidRPr="00FC206F">
        <w:rPr>
          <w:sz w:val="22"/>
          <w:szCs w:val="22"/>
        </w:rPr>
        <w:t>)(2) of OBBBA</w:t>
      </w:r>
      <w:r>
        <w:rPr>
          <w:sz w:val="22"/>
          <w:szCs w:val="22"/>
        </w:rPr>
        <w:t xml:space="preserve"> so that the INFLATION ADJUSTMENT amendment is to “Section 1202(d).”</w:t>
      </w:r>
    </w:p>
    <w:p w:rsidR="00EE7DDF" w:rsidP="006D029A" w14:paraId="15DBF17F" w14:textId="77777777">
      <w:pPr>
        <w:rPr>
          <w:sz w:val="22"/>
          <w:szCs w:val="22"/>
        </w:rPr>
      </w:pPr>
    </w:p>
    <w:p w:rsidR="00594B05" w:rsidP="006D029A" w14:paraId="5E0B375D" w14:textId="05C68A0A">
      <w:pPr>
        <w:numPr>
          <w:ilvl w:val="1"/>
          <w:numId w:val="2"/>
        </w:numPr>
        <w:rPr>
          <w:sz w:val="22"/>
          <w:szCs w:val="22"/>
        </w:rPr>
      </w:pPr>
      <w:r>
        <w:rPr>
          <w:sz w:val="22"/>
          <w:szCs w:val="22"/>
        </w:rPr>
        <w:t>Amending Eligible Gain and Applicable Percentag</w:t>
      </w:r>
      <w:r w:rsidR="009F7154">
        <w:rPr>
          <w:sz w:val="22"/>
          <w:szCs w:val="22"/>
        </w:rPr>
        <w:t>e</w:t>
      </w:r>
    </w:p>
    <w:p w:rsidR="002C4F61" w:rsidP="006D029A" w14:paraId="24B3AE07" w14:textId="77777777">
      <w:pPr>
        <w:ind w:left="567"/>
        <w:rPr>
          <w:sz w:val="22"/>
          <w:szCs w:val="22"/>
        </w:rPr>
      </w:pPr>
    </w:p>
    <w:p w:rsidR="00BB695C" w:rsidP="006D029A" w14:paraId="50309F86" w14:textId="14D2A8FA">
      <w:pPr>
        <w:numPr>
          <w:ilvl w:val="2"/>
          <w:numId w:val="2"/>
        </w:numPr>
        <w:rPr>
          <w:sz w:val="22"/>
          <w:szCs w:val="22"/>
        </w:rPr>
      </w:pPr>
      <w:r>
        <w:rPr>
          <w:sz w:val="22"/>
          <w:szCs w:val="22"/>
        </w:rPr>
        <w:t>OBBBA Amendments</w:t>
      </w:r>
    </w:p>
    <w:p w:rsidR="000E0CF9" w:rsidP="006D029A" w14:paraId="416AF74E" w14:textId="77777777">
      <w:pPr>
        <w:ind w:left="567" w:right="22"/>
        <w:rPr>
          <w:sz w:val="22"/>
          <w:szCs w:val="22"/>
        </w:rPr>
      </w:pPr>
    </w:p>
    <w:p w:rsidR="00560F0C" w:rsidP="006D029A" w14:paraId="613519CA" w14:textId="04C0E5D3">
      <w:pPr>
        <w:ind w:right="22" w:firstLine="567"/>
        <w:rPr>
          <w:sz w:val="22"/>
          <w:szCs w:val="22"/>
        </w:rPr>
      </w:pPr>
      <w:r>
        <w:rPr>
          <w:sz w:val="22"/>
          <w:szCs w:val="22"/>
        </w:rPr>
        <w:t xml:space="preserve">OBBBA </w:t>
      </w:r>
      <w:r w:rsidR="00A65F01">
        <w:rPr>
          <w:sz w:val="22"/>
          <w:szCs w:val="22"/>
        </w:rPr>
        <w:t>amends section 1202(a)(1) and adds new</w:t>
      </w:r>
      <w:r>
        <w:rPr>
          <w:sz w:val="22"/>
          <w:szCs w:val="22"/>
        </w:rPr>
        <w:t xml:space="preserve"> section 1202(a)</w:t>
      </w:r>
      <w:r w:rsidR="00A65F01">
        <w:rPr>
          <w:sz w:val="22"/>
          <w:szCs w:val="22"/>
        </w:rPr>
        <w:t>(5).  Section 1202(a)(1)(B) adds the concept of an “applicable percentage” to</w:t>
      </w:r>
      <w:r w:rsidR="00F859F6">
        <w:rPr>
          <w:sz w:val="22"/>
          <w:szCs w:val="22"/>
        </w:rPr>
        <w:t xml:space="preserve"> realized</w:t>
      </w:r>
      <w:r w:rsidR="00A65F01">
        <w:rPr>
          <w:sz w:val="22"/>
          <w:szCs w:val="22"/>
        </w:rPr>
        <w:t xml:space="preserve"> gain</w:t>
      </w:r>
      <w:r>
        <w:rPr>
          <w:sz w:val="22"/>
          <w:szCs w:val="22"/>
        </w:rPr>
        <w:t xml:space="preserve"> from the sale of QSB stock </w:t>
      </w:r>
      <w:r w:rsidR="001237A4">
        <w:rPr>
          <w:sz w:val="22"/>
          <w:szCs w:val="22"/>
        </w:rPr>
        <w:t>“</w:t>
      </w:r>
      <w:r>
        <w:rPr>
          <w:sz w:val="22"/>
          <w:szCs w:val="22"/>
        </w:rPr>
        <w:t>acquired</w:t>
      </w:r>
      <w:r w:rsidR="007E2572">
        <w:rPr>
          <w:sz w:val="22"/>
          <w:szCs w:val="22"/>
        </w:rPr>
        <w:t>”</w:t>
      </w:r>
      <w:r>
        <w:rPr>
          <w:sz w:val="22"/>
          <w:szCs w:val="22"/>
        </w:rPr>
        <w:t xml:space="preserve"> after the </w:t>
      </w:r>
      <w:r w:rsidR="001237A4">
        <w:rPr>
          <w:sz w:val="22"/>
          <w:szCs w:val="22"/>
        </w:rPr>
        <w:t>“</w:t>
      </w:r>
      <w:r>
        <w:rPr>
          <w:sz w:val="22"/>
          <w:szCs w:val="22"/>
        </w:rPr>
        <w:t>applicable date”</w:t>
      </w:r>
      <w:r w:rsidR="001237A4">
        <w:rPr>
          <w:sz w:val="22"/>
          <w:szCs w:val="22"/>
        </w:rPr>
        <w:t xml:space="preserve"> (these terms are defined below).</w:t>
      </w:r>
      <w:r>
        <w:rPr>
          <w:sz w:val="22"/>
          <w:szCs w:val="22"/>
        </w:rPr>
        <w:t xml:space="preserve">  </w:t>
      </w:r>
      <w:r w:rsidR="001237A4">
        <w:rPr>
          <w:sz w:val="22"/>
          <w:szCs w:val="22"/>
        </w:rPr>
        <w:t>These</w:t>
      </w:r>
      <w:r>
        <w:rPr>
          <w:sz w:val="22"/>
          <w:szCs w:val="22"/>
        </w:rPr>
        <w:t xml:space="preserve"> are defined in section 1202(a)(5), so this provision only applies to QSB stock issued after the enactment of OB</w:t>
      </w:r>
      <w:r w:rsidR="00AE7E13">
        <w:rPr>
          <w:sz w:val="22"/>
          <w:szCs w:val="22"/>
        </w:rPr>
        <w:t>B</w:t>
      </w:r>
      <w:r>
        <w:rPr>
          <w:sz w:val="22"/>
          <w:szCs w:val="22"/>
        </w:rPr>
        <w:t>BA</w:t>
      </w:r>
      <w:r w:rsidR="001237A4">
        <w:rPr>
          <w:sz w:val="22"/>
          <w:szCs w:val="22"/>
        </w:rPr>
        <w:t xml:space="preserve"> </w:t>
      </w:r>
      <w:r w:rsidR="002C4F61">
        <w:rPr>
          <w:sz w:val="22"/>
          <w:szCs w:val="22"/>
        </w:rPr>
        <w:t>(</w:t>
      </w:r>
      <w:r w:rsidR="001237A4">
        <w:rPr>
          <w:sz w:val="22"/>
          <w:szCs w:val="22"/>
        </w:rPr>
        <w:t>July 4, 2025)</w:t>
      </w:r>
      <w:r w:rsidR="00FE79AA">
        <w:rPr>
          <w:sz w:val="22"/>
          <w:szCs w:val="22"/>
        </w:rPr>
        <w:t>.</w:t>
      </w:r>
    </w:p>
    <w:p w:rsidR="00560F0C" w:rsidP="006D029A" w14:paraId="4D2B5723" w14:textId="77777777">
      <w:pPr>
        <w:pStyle w:val="ListParagraph"/>
        <w:rPr>
          <w:sz w:val="22"/>
          <w:szCs w:val="22"/>
        </w:rPr>
      </w:pPr>
    </w:p>
    <w:p w:rsidR="000E0CF9" w:rsidP="006D029A" w14:paraId="34553217" w14:textId="4588B84D">
      <w:pPr>
        <w:ind w:right="22" w:firstLine="567"/>
        <w:rPr>
          <w:sz w:val="22"/>
          <w:szCs w:val="22"/>
        </w:rPr>
      </w:pPr>
      <w:r>
        <w:rPr>
          <w:sz w:val="22"/>
          <w:szCs w:val="22"/>
        </w:rPr>
        <w:t xml:space="preserve">Section 1202(a)(5) </w:t>
      </w:r>
      <w:r w:rsidR="007F13C6">
        <w:rPr>
          <w:sz w:val="22"/>
          <w:szCs w:val="22"/>
        </w:rPr>
        <w:t>defines</w:t>
      </w:r>
      <w:r>
        <w:rPr>
          <w:sz w:val="22"/>
          <w:szCs w:val="22"/>
        </w:rPr>
        <w:t xml:space="preserve"> the “applicable percentage”</w:t>
      </w:r>
      <w:r w:rsidR="00F859F6">
        <w:rPr>
          <w:sz w:val="22"/>
          <w:szCs w:val="22"/>
        </w:rPr>
        <w:t xml:space="preserve"> (hereinafter, “Applicable Percentage”)</w:t>
      </w:r>
      <w:r>
        <w:rPr>
          <w:sz w:val="22"/>
          <w:szCs w:val="22"/>
        </w:rPr>
        <w:t xml:space="preserve"> as follows:</w:t>
      </w:r>
      <w:r>
        <w:rPr>
          <w:rStyle w:val="FootnoteReference"/>
          <w:sz w:val="22"/>
          <w:szCs w:val="22"/>
        </w:rPr>
        <w:footnoteReference w:id="8"/>
      </w:r>
    </w:p>
    <w:p w:rsidR="000E0CF9" w:rsidP="006D029A" w14:paraId="47D06432" w14:textId="77777777">
      <w:pPr>
        <w:ind w:right="22"/>
        <w:rPr>
          <w:sz w:val="22"/>
          <w:szCs w:val="22"/>
        </w:rPr>
      </w:pPr>
    </w:p>
    <w:p w:rsidR="000E0CF9" w:rsidRPr="00FE79AA" w:rsidP="006D029A" w14:paraId="7155E652" w14:textId="09293A21">
      <w:pPr>
        <w:pStyle w:val="ListParagraph"/>
        <w:numPr>
          <w:ilvl w:val="0"/>
          <w:numId w:val="3"/>
        </w:numPr>
        <w:ind w:right="22"/>
        <w:rPr>
          <w:sz w:val="22"/>
          <w:szCs w:val="22"/>
        </w:rPr>
      </w:pPr>
      <w:r w:rsidRPr="00FE79AA">
        <w:rPr>
          <w:sz w:val="22"/>
          <w:szCs w:val="22"/>
        </w:rPr>
        <w:t>50%</w:t>
      </w:r>
      <w:r w:rsidRPr="00FE79AA" w:rsidR="00560F0C">
        <w:rPr>
          <w:sz w:val="22"/>
          <w:szCs w:val="22"/>
        </w:rPr>
        <w:t xml:space="preserve"> (exclusion of gain)</w:t>
      </w:r>
      <w:r w:rsidRPr="00FE79AA" w:rsidR="009807E7">
        <w:rPr>
          <w:sz w:val="22"/>
          <w:szCs w:val="22"/>
        </w:rPr>
        <w:t>,</w:t>
      </w:r>
      <w:r w:rsidRPr="00FE79AA">
        <w:rPr>
          <w:sz w:val="22"/>
          <w:szCs w:val="22"/>
        </w:rPr>
        <w:t xml:space="preserve"> if </w:t>
      </w:r>
      <w:r w:rsidRPr="00FE79AA" w:rsidR="009807E7">
        <w:rPr>
          <w:sz w:val="22"/>
          <w:szCs w:val="22"/>
        </w:rPr>
        <w:t xml:space="preserve">stock was acquired after the “applicable date” and </w:t>
      </w:r>
      <w:r w:rsidRPr="00FE79AA">
        <w:rPr>
          <w:sz w:val="22"/>
          <w:szCs w:val="22"/>
        </w:rPr>
        <w:t>held for at least 3 years;</w:t>
      </w:r>
    </w:p>
    <w:p w:rsidR="000E0CF9" w:rsidP="006D029A" w14:paraId="51FB911E" w14:textId="77777777">
      <w:pPr>
        <w:ind w:left="2268" w:right="22"/>
        <w:rPr>
          <w:sz w:val="22"/>
          <w:szCs w:val="22"/>
        </w:rPr>
      </w:pPr>
    </w:p>
    <w:p w:rsidR="000E0CF9" w:rsidRPr="00FE79AA" w:rsidP="006D029A" w14:paraId="2422370D" w14:textId="53074B26">
      <w:pPr>
        <w:pStyle w:val="ListParagraph"/>
        <w:numPr>
          <w:ilvl w:val="0"/>
          <w:numId w:val="4"/>
        </w:numPr>
        <w:ind w:right="22"/>
        <w:rPr>
          <w:sz w:val="22"/>
          <w:szCs w:val="22"/>
        </w:rPr>
      </w:pPr>
      <w:r w:rsidRPr="00FE79AA">
        <w:rPr>
          <w:sz w:val="22"/>
          <w:szCs w:val="22"/>
        </w:rPr>
        <w:t>75%</w:t>
      </w:r>
      <w:r w:rsidRPr="00FE79AA" w:rsidR="00560F0C">
        <w:rPr>
          <w:sz w:val="22"/>
          <w:szCs w:val="22"/>
        </w:rPr>
        <w:t xml:space="preserve"> (exclusion of gain), </w:t>
      </w:r>
      <w:r w:rsidRPr="00FE79AA" w:rsidR="009807E7">
        <w:rPr>
          <w:sz w:val="22"/>
          <w:szCs w:val="22"/>
        </w:rPr>
        <w:t>if stock was acquired after the “applicable date” and held for at least</w:t>
      </w:r>
      <w:r w:rsidRPr="00FE79AA">
        <w:rPr>
          <w:sz w:val="22"/>
          <w:szCs w:val="22"/>
        </w:rPr>
        <w:t xml:space="preserve"> 4 years; and</w:t>
      </w:r>
    </w:p>
    <w:p w:rsidR="000E0CF9" w:rsidP="006D029A" w14:paraId="4B00F65E" w14:textId="77777777">
      <w:pPr>
        <w:ind w:left="2268" w:right="22"/>
        <w:rPr>
          <w:sz w:val="22"/>
          <w:szCs w:val="22"/>
        </w:rPr>
      </w:pPr>
    </w:p>
    <w:p w:rsidR="008C3B20" w:rsidRPr="00FE79AA" w:rsidP="006D029A" w14:paraId="0E4E1638" w14:textId="503C60F4">
      <w:pPr>
        <w:pStyle w:val="ListParagraph"/>
        <w:numPr>
          <w:ilvl w:val="0"/>
          <w:numId w:val="4"/>
        </w:numPr>
        <w:ind w:right="22"/>
        <w:rPr>
          <w:sz w:val="22"/>
          <w:szCs w:val="22"/>
        </w:rPr>
      </w:pPr>
      <w:r w:rsidRPr="00FE79AA">
        <w:rPr>
          <w:sz w:val="22"/>
          <w:szCs w:val="22"/>
        </w:rPr>
        <w:t>100%</w:t>
      </w:r>
      <w:r w:rsidRPr="00FE79AA" w:rsidR="00560F0C">
        <w:rPr>
          <w:sz w:val="22"/>
          <w:szCs w:val="22"/>
        </w:rPr>
        <w:t xml:space="preserve"> (exclusion of gain), </w:t>
      </w:r>
      <w:r w:rsidRPr="00FE79AA" w:rsidR="009807E7">
        <w:rPr>
          <w:sz w:val="22"/>
          <w:szCs w:val="22"/>
        </w:rPr>
        <w:t>if stock was acquired after the “applicable date” and held for at least</w:t>
      </w:r>
      <w:r w:rsidRPr="00FE79AA">
        <w:rPr>
          <w:sz w:val="22"/>
          <w:szCs w:val="22"/>
        </w:rPr>
        <w:t xml:space="preserve"> 5 years</w:t>
      </w:r>
      <w:r w:rsidRPr="00FE79AA" w:rsidR="000E0CF9">
        <w:rPr>
          <w:sz w:val="22"/>
          <w:szCs w:val="22"/>
        </w:rPr>
        <w:t>.</w:t>
      </w:r>
    </w:p>
    <w:p w:rsidR="00560F0C" w:rsidP="006D029A" w14:paraId="50B6C734" w14:textId="77777777">
      <w:pPr>
        <w:pStyle w:val="ListParagraph"/>
        <w:rPr>
          <w:sz w:val="22"/>
          <w:szCs w:val="22"/>
        </w:rPr>
      </w:pPr>
    </w:p>
    <w:p w:rsidR="0085223D" w:rsidP="006D029A" w14:paraId="48AA5650" w14:textId="21800FD2">
      <w:pPr>
        <w:ind w:right="22" w:firstLine="720"/>
        <w:rPr>
          <w:sz w:val="22"/>
          <w:szCs w:val="22"/>
        </w:rPr>
      </w:pPr>
      <w:bookmarkStart w:id="1" w:name="_Hlk201069914"/>
      <w:r w:rsidRPr="0085223D">
        <w:rPr>
          <w:sz w:val="22"/>
          <w:szCs w:val="22"/>
        </w:rPr>
        <w:t xml:space="preserve">The </w:t>
      </w:r>
      <w:r w:rsidRPr="0085223D" w:rsidR="00D46D5B">
        <w:rPr>
          <w:sz w:val="22"/>
          <w:szCs w:val="22"/>
        </w:rPr>
        <w:t xml:space="preserve">“applicable date” </w:t>
      </w:r>
      <w:r w:rsidRPr="0085223D">
        <w:rPr>
          <w:sz w:val="22"/>
          <w:szCs w:val="22"/>
        </w:rPr>
        <w:t>means the date of enactment.</w:t>
      </w:r>
      <w:r>
        <w:rPr>
          <w:rStyle w:val="FootnoteReference"/>
          <w:sz w:val="22"/>
          <w:szCs w:val="22"/>
        </w:rPr>
        <w:footnoteReference w:id="9"/>
      </w:r>
      <w:r w:rsidR="00030E43">
        <w:rPr>
          <w:sz w:val="22"/>
          <w:szCs w:val="22"/>
        </w:rPr>
        <w:t xml:space="preserve">  However, the foregoing applicable percentages are effective for </w:t>
      </w:r>
      <w:r w:rsidR="00BB695C">
        <w:rPr>
          <w:sz w:val="22"/>
          <w:szCs w:val="22"/>
        </w:rPr>
        <w:t>taxable years beginning after the date of enactment (July 4, 2025).</w:t>
      </w:r>
    </w:p>
    <w:p w:rsidR="00030E43" w:rsidP="006D029A" w14:paraId="280DB9F0" w14:textId="77777777">
      <w:pPr>
        <w:ind w:left="1134" w:right="22"/>
        <w:rPr>
          <w:sz w:val="22"/>
          <w:szCs w:val="22"/>
        </w:rPr>
      </w:pPr>
    </w:p>
    <w:p w:rsidR="007F13C6" w:rsidP="006D029A" w14:paraId="18317407" w14:textId="736BAC72">
      <w:pPr>
        <w:ind w:right="22" w:firstLine="720"/>
        <w:rPr>
          <w:sz w:val="22"/>
          <w:szCs w:val="22"/>
        </w:rPr>
      </w:pPr>
      <w:bookmarkStart w:id="2" w:name="_Hlk209365373"/>
      <w:r>
        <w:rPr>
          <w:sz w:val="22"/>
          <w:szCs w:val="22"/>
        </w:rPr>
        <w:t xml:space="preserve">Section 1202(a)(6)(B) in </w:t>
      </w:r>
      <w:r w:rsidR="001237A4">
        <w:rPr>
          <w:sz w:val="22"/>
          <w:szCs w:val="22"/>
        </w:rPr>
        <w:t xml:space="preserve">defining the </w:t>
      </w:r>
      <w:r>
        <w:rPr>
          <w:sz w:val="22"/>
          <w:szCs w:val="22"/>
        </w:rPr>
        <w:t>“</w:t>
      </w:r>
      <w:r w:rsidR="001237A4">
        <w:rPr>
          <w:sz w:val="22"/>
          <w:szCs w:val="22"/>
        </w:rPr>
        <w:t>acquisition date</w:t>
      </w:r>
      <w:r>
        <w:rPr>
          <w:sz w:val="22"/>
          <w:szCs w:val="22"/>
        </w:rPr>
        <w:t>”</w:t>
      </w:r>
      <w:r w:rsidR="001237A4">
        <w:rPr>
          <w:sz w:val="22"/>
          <w:szCs w:val="22"/>
        </w:rPr>
        <w:t xml:space="preserve"> provides</w:t>
      </w:r>
      <w:r w:rsidR="00441B5C">
        <w:rPr>
          <w:sz w:val="22"/>
          <w:szCs w:val="22"/>
        </w:rPr>
        <w:t>:</w:t>
      </w:r>
      <w:bookmarkEnd w:id="2"/>
    </w:p>
    <w:p w:rsidR="007F13C6" w:rsidP="007F13C6" w14:paraId="07240412" w14:textId="77777777">
      <w:pPr>
        <w:ind w:right="22"/>
        <w:rPr>
          <w:sz w:val="22"/>
          <w:szCs w:val="22"/>
        </w:rPr>
      </w:pPr>
    </w:p>
    <w:p w:rsidR="007F13C6" w:rsidP="00655A8B" w14:paraId="35F9999B" w14:textId="6A847D41">
      <w:pPr>
        <w:ind w:left="720" w:right="720"/>
        <w:rPr>
          <w:sz w:val="22"/>
          <w:szCs w:val="22"/>
        </w:rPr>
      </w:pPr>
      <w:bookmarkStart w:id="3" w:name="_Hlk209365385"/>
      <w:r w:rsidRPr="0085223D">
        <w:rPr>
          <w:sz w:val="22"/>
          <w:szCs w:val="22"/>
        </w:rPr>
        <w:t>In the case of any stock which would (but for this paragraph) be treated as having been acquired before, on, or after</w:t>
      </w:r>
      <w:r w:rsidRPr="0085223D" w:rsidR="00EE0BCE">
        <w:rPr>
          <w:sz w:val="22"/>
          <w:szCs w:val="22"/>
        </w:rPr>
        <w:t xml:space="preserve"> the</w:t>
      </w:r>
      <w:r w:rsidRPr="0085223D">
        <w:rPr>
          <w:sz w:val="22"/>
          <w:szCs w:val="22"/>
        </w:rPr>
        <w:t xml:space="preserve"> applicable date, whichever is applicable, the acquisition date for purposes of this section shall be the first day on which such stock was held by the taxpayer </w:t>
      </w:r>
      <w:r w:rsidRPr="00F859F6">
        <w:rPr>
          <w:sz w:val="22"/>
          <w:szCs w:val="22"/>
          <w:u w:val="single"/>
        </w:rPr>
        <w:t>determined after the application of section 1223</w:t>
      </w:r>
      <w:r w:rsidRPr="0085223D">
        <w:rPr>
          <w:sz w:val="22"/>
          <w:szCs w:val="22"/>
        </w:rPr>
        <w:t>.</w:t>
      </w:r>
      <w:r>
        <w:rPr>
          <w:rStyle w:val="FootnoteReference"/>
          <w:sz w:val="22"/>
          <w:szCs w:val="22"/>
        </w:rPr>
        <w:footnoteReference w:id="10"/>
      </w:r>
      <w:bookmarkEnd w:id="3"/>
    </w:p>
    <w:bookmarkEnd w:id="1"/>
    <w:p w:rsidR="006743B9" w:rsidP="006743B9" w14:paraId="29E5622E" w14:textId="77777777">
      <w:pPr>
        <w:ind w:left="1701" w:right="22"/>
        <w:rPr>
          <w:sz w:val="22"/>
          <w:szCs w:val="22"/>
        </w:rPr>
      </w:pPr>
    </w:p>
    <w:p w:rsidR="00655A8B" w:rsidP="00BA66D8" w14:paraId="09D4F62B" w14:textId="6AC1D170">
      <w:pPr>
        <w:keepNext/>
        <w:keepLines/>
        <w:numPr>
          <w:ilvl w:val="2"/>
          <w:numId w:val="2"/>
        </w:numPr>
        <w:rPr>
          <w:sz w:val="22"/>
          <w:szCs w:val="22"/>
        </w:rPr>
      </w:pPr>
      <w:r>
        <w:rPr>
          <w:sz w:val="22"/>
          <w:szCs w:val="22"/>
        </w:rPr>
        <w:t>Problem/Issue</w:t>
      </w:r>
    </w:p>
    <w:p w:rsidR="00655A8B" w:rsidP="00BA66D8" w14:paraId="10192F2D" w14:textId="77777777">
      <w:pPr>
        <w:keepNext/>
        <w:keepLines/>
        <w:ind w:left="1134"/>
        <w:rPr>
          <w:sz w:val="22"/>
          <w:szCs w:val="22"/>
        </w:rPr>
      </w:pPr>
    </w:p>
    <w:p w:rsidR="00655A8B" w:rsidP="00BA66D8" w14:paraId="6EA7FEDF" w14:textId="29133FD2">
      <w:pPr>
        <w:keepNext/>
        <w:keepLines/>
        <w:ind w:firstLine="720"/>
        <w:rPr>
          <w:sz w:val="22"/>
          <w:szCs w:val="22"/>
        </w:rPr>
      </w:pPr>
      <w:r>
        <w:rPr>
          <w:sz w:val="22"/>
          <w:szCs w:val="22"/>
        </w:rPr>
        <w:t>C</w:t>
      </w:r>
      <w:r w:rsidRPr="0085223D">
        <w:rPr>
          <w:sz w:val="22"/>
          <w:szCs w:val="22"/>
        </w:rPr>
        <w:t>iting section 1223</w:t>
      </w:r>
      <w:r w:rsidR="00657BD1">
        <w:rPr>
          <w:sz w:val="22"/>
          <w:szCs w:val="22"/>
        </w:rPr>
        <w:t xml:space="preserve"> in section 1202(a)(6)</w:t>
      </w:r>
      <w:r w:rsidR="009F7154">
        <w:rPr>
          <w:sz w:val="22"/>
          <w:szCs w:val="22"/>
        </w:rPr>
        <w:t>(B)</w:t>
      </w:r>
      <w:r w:rsidRPr="0085223D">
        <w:rPr>
          <w:sz w:val="22"/>
          <w:szCs w:val="22"/>
        </w:rPr>
        <w:t xml:space="preserve"> as the determining factor of the date of acquisition for section 1202 purposes causes a significant amount of uncertainty for purposes of </w:t>
      </w:r>
      <w:r w:rsidR="00FB39F3">
        <w:rPr>
          <w:sz w:val="22"/>
          <w:szCs w:val="22"/>
        </w:rPr>
        <w:t xml:space="preserve">determining the </w:t>
      </w:r>
      <w:r w:rsidRPr="0085223D">
        <w:rPr>
          <w:sz w:val="22"/>
          <w:szCs w:val="22"/>
        </w:rPr>
        <w:t>holding period</w:t>
      </w:r>
      <w:r>
        <w:rPr>
          <w:sz w:val="22"/>
          <w:szCs w:val="22"/>
        </w:rPr>
        <w:t xml:space="preserve"> in section 1202(a)(5) and the acquisition date for purposes of section 1202(a)(1)(B)</w:t>
      </w:r>
      <w:r w:rsidRPr="0085223D">
        <w:rPr>
          <w:sz w:val="22"/>
          <w:szCs w:val="22"/>
        </w:rPr>
        <w:t xml:space="preserve">. </w:t>
      </w:r>
      <w:r w:rsidR="00FB1967">
        <w:rPr>
          <w:sz w:val="22"/>
          <w:szCs w:val="22"/>
        </w:rPr>
        <w:t xml:space="preserve"> </w:t>
      </w:r>
      <w:r w:rsidRPr="0085223D">
        <w:rPr>
          <w:sz w:val="22"/>
          <w:szCs w:val="22"/>
        </w:rPr>
        <w:t xml:space="preserve">Section 1223 has fifteen different subsections, but generally provides for tacking of holding periods.  </w:t>
      </w:r>
      <w:r w:rsidR="009F7154">
        <w:rPr>
          <w:sz w:val="22"/>
          <w:szCs w:val="22"/>
        </w:rPr>
        <w:t>When this reference was included, its possible impact on QSBS planning may not have been know</w:t>
      </w:r>
      <w:r w:rsidR="00F859F6">
        <w:rPr>
          <w:sz w:val="22"/>
          <w:szCs w:val="22"/>
        </w:rPr>
        <w:t>n</w:t>
      </w:r>
      <w:r w:rsidR="009F7154">
        <w:rPr>
          <w:sz w:val="22"/>
          <w:szCs w:val="22"/>
        </w:rPr>
        <w:t>. T</w:t>
      </w:r>
      <w:r>
        <w:rPr>
          <w:sz w:val="22"/>
          <w:szCs w:val="22"/>
        </w:rPr>
        <w:t>his provision</w:t>
      </w:r>
      <w:r w:rsidRPr="0085223D">
        <w:rPr>
          <w:sz w:val="22"/>
          <w:szCs w:val="22"/>
        </w:rPr>
        <w:t xml:space="preserve"> should likely provide </w:t>
      </w:r>
      <w:r>
        <w:rPr>
          <w:sz w:val="22"/>
          <w:szCs w:val="22"/>
        </w:rPr>
        <w:t>that the “acquisition date”</w:t>
      </w:r>
      <w:r w:rsidRPr="0085223D">
        <w:rPr>
          <w:sz w:val="22"/>
          <w:szCs w:val="22"/>
        </w:rPr>
        <w:t xml:space="preserve"> </w:t>
      </w:r>
      <w:r>
        <w:rPr>
          <w:sz w:val="22"/>
          <w:szCs w:val="22"/>
        </w:rPr>
        <w:t>should be</w:t>
      </w:r>
      <w:r w:rsidRPr="0085223D">
        <w:rPr>
          <w:sz w:val="22"/>
          <w:szCs w:val="22"/>
        </w:rPr>
        <w:t xml:space="preserve"> determined without regard to section 1223 (as section 1045 does, as discussed </w:t>
      </w:r>
      <w:r>
        <w:rPr>
          <w:sz w:val="22"/>
          <w:szCs w:val="22"/>
        </w:rPr>
        <w:t>below</w:t>
      </w:r>
      <w:r w:rsidRPr="0085223D">
        <w:rPr>
          <w:sz w:val="22"/>
          <w:szCs w:val="22"/>
        </w:rPr>
        <w:t>).</w:t>
      </w:r>
    </w:p>
    <w:p w:rsidR="00D46B3C" w:rsidP="00655A8B" w14:paraId="402FCA05" w14:textId="77777777">
      <w:pPr>
        <w:ind w:right="22" w:firstLine="720"/>
        <w:rPr>
          <w:sz w:val="22"/>
          <w:szCs w:val="22"/>
        </w:rPr>
      </w:pPr>
    </w:p>
    <w:p w:rsidR="00D46B3C" w:rsidP="00655A8B" w14:paraId="55B3C1E0" w14:textId="715263E5">
      <w:pPr>
        <w:ind w:right="22" w:firstLine="720"/>
        <w:rPr>
          <w:sz w:val="22"/>
          <w:szCs w:val="22"/>
        </w:rPr>
      </w:pPr>
      <w:r>
        <w:rPr>
          <w:sz w:val="22"/>
          <w:szCs w:val="22"/>
        </w:rPr>
        <w:t xml:space="preserve">In order to be a </w:t>
      </w:r>
      <w:r w:rsidR="00F859F6">
        <w:rPr>
          <w:sz w:val="22"/>
          <w:szCs w:val="22"/>
        </w:rPr>
        <w:t>“</w:t>
      </w:r>
      <w:r>
        <w:rPr>
          <w:sz w:val="22"/>
          <w:szCs w:val="22"/>
        </w:rPr>
        <w:t>qualified small business</w:t>
      </w:r>
      <w:r w:rsidR="00F859F6">
        <w:rPr>
          <w:sz w:val="22"/>
          <w:szCs w:val="22"/>
        </w:rPr>
        <w:t>”</w:t>
      </w:r>
      <w:r>
        <w:rPr>
          <w:sz w:val="22"/>
          <w:szCs w:val="22"/>
        </w:rPr>
        <w:t xml:space="preserve"> (</w:t>
      </w:r>
      <w:r w:rsidR="00F859F6">
        <w:rPr>
          <w:sz w:val="22"/>
          <w:szCs w:val="22"/>
        </w:rPr>
        <w:t>hereinafter, “</w:t>
      </w:r>
      <w:r>
        <w:rPr>
          <w:sz w:val="22"/>
          <w:szCs w:val="22"/>
        </w:rPr>
        <w:t>QSB</w:t>
      </w:r>
      <w:r w:rsidR="00F859F6">
        <w:rPr>
          <w:sz w:val="22"/>
          <w:szCs w:val="22"/>
        </w:rPr>
        <w:t>”</w:t>
      </w:r>
      <w:r>
        <w:rPr>
          <w:sz w:val="22"/>
          <w:szCs w:val="22"/>
        </w:rPr>
        <w:t xml:space="preserve">) under section 1202, </w:t>
      </w:r>
      <w:r w:rsidRPr="00D46B3C">
        <w:rPr>
          <w:sz w:val="22"/>
          <w:szCs w:val="22"/>
        </w:rPr>
        <w:t>the issuer of the stock must be a C corporation.</w:t>
      </w:r>
      <w:r>
        <w:rPr>
          <w:rStyle w:val="FootnoteReference"/>
          <w:sz w:val="22"/>
          <w:szCs w:val="22"/>
        </w:rPr>
        <w:footnoteReference w:id="11"/>
      </w:r>
      <w:r w:rsidRPr="00D46B3C">
        <w:rPr>
          <w:sz w:val="22"/>
          <w:szCs w:val="22"/>
        </w:rPr>
        <w:t xml:space="preserve">  Furthermore, QSBS must be acquired at its </w:t>
      </w:r>
      <w:r>
        <w:rPr>
          <w:sz w:val="22"/>
          <w:szCs w:val="22"/>
        </w:rPr>
        <w:t>o</w:t>
      </w:r>
      <w:r w:rsidRPr="00D46B3C">
        <w:rPr>
          <w:sz w:val="22"/>
          <w:szCs w:val="22"/>
        </w:rPr>
        <w:t xml:space="preserve">riginal </w:t>
      </w:r>
      <w:r>
        <w:rPr>
          <w:sz w:val="22"/>
          <w:szCs w:val="22"/>
        </w:rPr>
        <w:t>i</w:t>
      </w:r>
      <w:r w:rsidRPr="00D46B3C">
        <w:rPr>
          <w:sz w:val="22"/>
          <w:szCs w:val="22"/>
        </w:rPr>
        <w:t>ssuance either in exchange for money or other property (other than stock) or as compensation for services provided to such corporation.</w:t>
      </w:r>
      <w:r>
        <w:rPr>
          <w:rStyle w:val="FootnoteReference"/>
          <w:sz w:val="22"/>
          <w:szCs w:val="22"/>
        </w:rPr>
        <w:footnoteReference w:id="12"/>
      </w:r>
      <w:r w:rsidRPr="00D46B3C">
        <w:rPr>
          <w:sz w:val="22"/>
          <w:szCs w:val="22"/>
        </w:rPr>
        <w:t xml:space="preserve">  When property is transferred to a C corporation in exchange for stock in the corporation, gain or loss is generally recognized by the contributing shareholder.  The notable exception to this rule is outlined in section 351, generally describing </w:t>
      </w:r>
      <w:r>
        <w:rPr>
          <w:sz w:val="22"/>
          <w:szCs w:val="22"/>
        </w:rPr>
        <w:t xml:space="preserve">non-recognition </w:t>
      </w:r>
      <w:r w:rsidRPr="00D46B3C">
        <w:rPr>
          <w:sz w:val="22"/>
          <w:szCs w:val="22"/>
        </w:rPr>
        <w:t>transfers</w:t>
      </w:r>
      <w:r>
        <w:rPr>
          <w:sz w:val="22"/>
          <w:szCs w:val="22"/>
        </w:rPr>
        <w:t xml:space="preserve"> of property </w:t>
      </w:r>
      <w:r w:rsidRPr="00D46B3C">
        <w:rPr>
          <w:sz w:val="22"/>
          <w:szCs w:val="22"/>
        </w:rPr>
        <w:t xml:space="preserve">to </w:t>
      </w:r>
      <w:r w:rsidR="00C31632">
        <w:rPr>
          <w:sz w:val="22"/>
          <w:szCs w:val="22"/>
        </w:rPr>
        <w:t xml:space="preserve">a </w:t>
      </w:r>
      <w:r w:rsidRPr="00D46B3C">
        <w:rPr>
          <w:sz w:val="22"/>
          <w:szCs w:val="22"/>
        </w:rPr>
        <w:t>controlled corporation</w:t>
      </w:r>
      <w:r>
        <w:rPr>
          <w:sz w:val="22"/>
          <w:szCs w:val="22"/>
        </w:rPr>
        <w:t xml:space="preserve"> in exchange for stock in the controlled corporation.</w:t>
      </w:r>
    </w:p>
    <w:p w:rsidR="00D46B3C" w:rsidP="00655A8B" w14:paraId="4725E90C" w14:textId="77777777">
      <w:pPr>
        <w:ind w:right="22" w:firstLine="720"/>
        <w:rPr>
          <w:sz w:val="22"/>
          <w:szCs w:val="22"/>
        </w:rPr>
      </w:pPr>
    </w:p>
    <w:p w:rsidR="007A1328" w:rsidP="00655A8B" w14:paraId="4031763E" w14:textId="787A454F">
      <w:pPr>
        <w:ind w:right="22" w:firstLine="720"/>
        <w:rPr>
          <w:sz w:val="22"/>
          <w:szCs w:val="22"/>
        </w:rPr>
      </w:pPr>
      <w:r>
        <w:rPr>
          <w:sz w:val="22"/>
          <w:szCs w:val="22"/>
        </w:rPr>
        <w:t>Under section 1223, if property is transferred to a corporation in a section 351 transaction, a</w:t>
      </w:r>
      <w:r w:rsidRPr="000705F9">
        <w:rPr>
          <w:sz w:val="22"/>
          <w:szCs w:val="22"/>
        </w:rPr>
        <w:t xml:space="preserve"> transferor’s holding period for</w:t>
      </w:r>
      <w:r>
        <w:rPr>
          <w:sz w:val="22"/>
          <w:szCs w:val="22"/>
        </w:rPr>
        <w:t xml:space="preserve"> the</w:t>
      </w:r>
      <w:r w:rsidRPr="000705F9">
        <w:rPr>
          <w:sz w:val="22"/>
          <w:szCs w:val="22"/>
        </w:rPr>
        <w:t xml:space="preserve"> stock received in </w:t>
      </w:r>
      <w:r>
        <w:rPr>
          <w:sz w:val="22"/>
          <w:szCs w:val="22"/>
        </w:rPr>
        <w:t>the</w:t>
      </w:r>
      <w:r w:rsidRPr="000705F9">
        <w:rPr>
          <w:sz w:val="22"/>
          <w:szCs w:val="22"/>
        </w:rPr>
        <w:t xml:space="preserve"> transaction is the same as the transferor's holding period for the property exchanged for the stock, if the property was a capital asset or </w:t>
      </w:r>
      <w:r>
        <w:rPr>
          <w:sz w:val="22"/>
          <w:szCs w:val="22"/>
        </w:rPr>
        <w:t>s</w:t>
      </w:r>
      <w:r w:rsidRPr="000705F9">
        <w:rPr>
          <w:sz w:val="22"/>
          <w:szCs w:val="22"/>
        </w:rPr>
        <w:t>ection 1231 property (</w:t>
      </w:r>
      <w:r>
        <w:rPr>
          <w:sz w:val="22"/>
          <w:szCs w:val="22"/>
        </w:rPr>
        <w:t>e.g.</w:t>
      </w:r>
      <w:r w:rsidRPr="000705F9">
        <w:rPr>
          <w:sz w:val="22"/>
          <w:szCs w:val="22"/>
        </w:rPr>
        <w:t>, real property and depreciable property used in a trade or business in the transferor's hands and held for more than one year).</w:t>
      </w:r>
      <w:r>
        <w:rPr>
          <w:rStyle w:val="FootnoteReference"/>
          <w:sz w:val="22"/>
          <w:szCs w:val="22"/>
        </w:rPr>
        <w:footnoteReference w:id="13"/>
      </w:r>
      <w:r w:rsidRPr="000705F9">
        <w:rPr>
          <w:sz w:val="22"/>
          <w:szCs w:val="22"/>
        </w:rPr>
        <w:t xml:space="preserve"> </w:t>
      </w:r>
      <w:r>
        <w:rPr>
          <w:sz w:val="22"/>
          <w:szCs w:val="22"/>
        </w:rPr>
        <w:t xml:space="preserve"> </w:t>
      </w:r>
      <w:r w:rsidRPr="000705F9">
        <w:rPr>
          <w:sz w:val="22"/>
          <w:szCs w:val="22"/>
        </w:rPr>
        <w:t xml:space="preserve">The holding period for stock received for property that is not a capital asset or </w:t>
      </w:r>
      <w:r>
        <w:rPr>
          <w:sz w:val="22"/>
          <w:szCs w:val="22"/>
        </w:rPr>
        <w:t>s</w:t>
      </w:r>
      <w:r w:rsidRPr="000705F9">
        <w:rPr>
          <w:sz w:val="22"/>
          <w:szCs w:val="22"/>
        </w:rPr>
        <w:t xml:space="preserve">ection 1231 property does not include the holding period of the transferred property. </w:t>
      </w:r>
      <w:r>
        <w:rPr>
          <w:sz w:val="22"/>
          <w:szCs w:val="22"/>
        </w:rPr>
        <w:t xml:space="preserve"> As a result</w:t>
      </w:r>
      <w:r w:rsidRPr="000705F9">
        <w:rPr>
          <w:sz w:val="22"/>
          <w:szCs w:val="22"/>
        </w:rPr>
        <w:t xml:space="preserve">, </w:t>
      </w:r>
      <w:r>
        <w:rPr>
          <w:sz w:val="22"/>
          <w:szCs w:val="22"/>
        </w:rPr>
        <w:t>when</w:t>
      </w:r>
      <w:r w:rsidRPr="000705F9">
        <w:rPr>
          <w:sz w:val="22"/>
          <w:szCs w:val="22"/>
        </w:rPr>
        <w:t xml:space="preserve"> a transferor transfers some property that is a capital asset or </w:t>
      </w:r>
      <w:r>
        <w:rPr>
          <w:sz w:val="22"/>
          <w:szCs w:val="22"/>
        </w:rPr>
        <w:t>s</w:t>
      </w:r>
      <w:r w:rsidRPr="000705F9">
        <w:rPr>
          <w:sz w:val="22"/>
          <w:szCs w:val="22"/>
        </w:rPr>
        <w:t>ection 1231 property and other property that is not, the stock received will have a split holding period.</w:t>
      </w:r>
      <w:r>
        <w:rPr>
          <w:rStyle w:val="FootnoteReference"/>
          <w:sz w:val="22"/>
          <w:szCs w:val="22"/>
        </w:rPr>
        <w:footnoteReference w:id="14"/>
      </w:r>
      <w:r>
        <w:rPr>
          <w:sz w:val="22"/>
          <w:szCs w:val="22"/>
        </w:rPr>
        <w:t xml:space="preserve">  </w:t>
      </w:r>
      <w:r w:rsidRPr="000705F9">
        <w:rPr>
          <w:sz w:val="22"/>
          <w:szCs w:val="22"/>
        </w:rPr>
        <w:t xml:space="preserve">The transferee corporation's holding period for property received in a </w:t>
      </w:r>
      <w:r>
        <w:rPr>
          <w:sz w:val="22"/>
          <w:szCs w:val="22"/>
        </w:rPr>
        <w:t>s</w:t>
      </w:r>
      <w:r w:rsidRPr="000705F9">
        <w:rPr>
          <w:sz w:val="22"/>
          <w:szCs w:val="22"/>
        </w:rPr>
        <w:t>ection 351 transaction includes the transferor's holding period for the property, because the corporation's basis in the property is determined by reference to the transferor's</w:t>
      </w:r>
      <w:r>
        <w:rPr>
          <w:sz w:val="22"/>
          <w:szCs w:val="22"/>
        </w:rPr>
        <w:t xml:space="preserve"> </w:t>
      </w:r>
      <w:r w:rsidRPr="000705F9">
        <w:rPr>
          <w:sz w:val="22"/>
          <w:szCs w:val="22"/>
        </w:rPr>
        <w:t>basis.</w:t>
      </w:r>
      <w:r>
        <w:rPr>
          <w:rStyle w:val="FootnoteReference"/>
          <w:sz w:val="22"/>
          <w:szCs w:val="22"/>
        </w:rPr>
        <w:footnoteReference w:id="15"/>
      </w:r>
      <w:r>
        <w:rPr>
          <w:sz w:val="22"/>
          <w:szCs w:val="22"/>
        </w:rPr>
        <w:t xml:space="preserve">  For these purposes, </w:t>
      </w:r>
      <w:r w:rsidRPr="00ED2201">
        <w:rPr>
          <w:sz w:val="22"/>
          <w:szCs w:val="22"/>
        </w:rPr>
        <w:t xml:space="preserve">cash, accounts receivable and business assets held for less than one year generally are not subject to </w:t>
      </w:r>
      <w:r>
        <w:rPr>
          <w:sz w:val="22"/>
          <w:szCs w:val="22"/>
        </w:rPr>
        <w:t>s</w:t>
      </w:r>
      <w:r w:rsidRPr="00ED2201">
        <w:rPr>
          <w:sz w:val="22"/>
          <w:szCs w:val="22"/>
        </w:rPr>
        <w:t>ection 1223, whereas goodwill and similar intangible assets of a business that has been conducted more than one year generally are subject to</w:t>
      </w:r>
      <w:r>
        <w:rPr>
          <w:sz w:val="22"/>
          <w:szCs w:val="22"/>
        </w:rPr>
        <w:t xml:space="preserve"> section 1223.</w:t>
      </w:r>
      <w:r w:rsidRPr="00ED2201">
        <w:t xml:space="preserve"> </w:t>
      </w:r>
      <w:r w:rsidRPr="00ED2201">
        <w:rPr>
          <w:sz w:val="22"/>
          <w:szCs w:val="22"/>
        </w:rPr>
        <w:t>The holding period for self-created goodwill of a business (including name or brand value, as well as customer relationships) generally begins at the time of or shortly following the inception of the business.</w:t>
      </w:r>
      <w:r>
        <w:rPr>
          <w:rStyle w:val="FootnoteReference"/>
          <w:sz w:val="22"/>
          <w:szCs w:val="22"/>
        </w:rPr>
        <w:footnoteReference w:id="16"/>
      </w:r>
    </w:p>
    <w:p w:rsidR="007A1328" w:rsidP="00655A8B" w14:paraId="560DEB4F" w14:textId="77777777">
      <w:pPr>
        <w:ind w:right="22" w:firstLine="720"/>
        <w:rPr>
          <w:sz w:val="22"/>
          <w:szCs w:val="22"/>
        </w:rPr>
      </w:pPr>
    </w:p>
    <w:p w:rsidR="007A1328" w:rsidP="00655A8B" w14:paraId="4AF9238B" w14:textId="7B4BB826">
      <w:pPr>
        <w:ind w:right="22" w:firstLine="720"/>
        <w:rPr>
          <w:sz w:val="22"/>
          <w:szCs w:val="22"/>
        </w:rPr>
      </w:pPr>
      <w:r>
        <w:rPr>
          <w:sz w:val="22"/>
          <w:szCs w:val="22"/>
        </w:rPr>
        <w:t>After its initial enactment in 1993, section 1202 was amended in 2009 and 2010 to increase the exclusion from 50 percent to 75 or 100 percent exclusions, depending on the acquisition date of the QSBS.  After the 75 percent and 100 percent exclusions were enacted, each of the respective subsections were amended in 2012</w:t>
      </w:r>
      <w:r>
        <w:rPr>
          <w:rStyle w:val="FootnoteReference"/>
          <w:sz w:val="22"/>
          <w:szCs w:val="22"/>
        </w:rPr>
        <w:footnoteReference w:id="17"/>
      </w:r>
      <w:r>
        <w:rPr>
          <w:sz w:val="22"/>
          <w:szCs w:val="22"/>
        </w:rPr>
        <w:t xml:space="preserve"> to include the following flush language</w:t>
      </w:r>
      <w:r w:rsidR="00443A99">
        <w:rPr>
          <w:sz w:val="22"/>
          <w:szCs w:val="22"/>
        </w:rPr>
        <w:t xml:space="preserve"> in </w:t>
      </w:r>
      <w:r w:rsidRPr="001A7E71" w:rsidR="00443A99">
        <w:rPr>
          <w:sz w:val="22"/>
          <w:szCs w:val="22"/>
        </w:rPr>
        <w:t>sections 1202(a)(3) and (a)(4)</w:t>
      </w:r>
      <w:r>
        <w:rPr>
          <w:sz w:val="22"/>
          <w:szCs w:val="22"/>
        </w:rPr>
        <w:t>: “</w:t>
      </w:r>
      <w:r w:rsidRPr="00B73070">
        <w:rPr>
          <w:sz w:val="22"/>
          <w:szCs w:val="22"/>
        </w:rPr>
        <w:t>In the case of any stock which would be described in the preceding sentence (but for this sentence), the acquisition date for purposes of this subsection shall be the first day on which such stock was held by the taxpayer determined after the application of section 1223.</w:t>
      </w:r>
      <w:r>
        <w:rPr>
          <w:sz w:val="22"/>
          <w:szCs w:val="22"/>
        </w:rPr>
        <w:t>”</w:t>
      </w:r>
      <w:r>
        <w:rPr>
          <w:rStyle w:val="FootnoteReference"/>
          <w:sz w:val="22"/>
          <w:szCs w:val="22"/>
        </w:rPr>
        <w:footnoteReference w:id="18"/>
      </w:r>
      <w:r w:rsidR="00FB1967">
        <w:rPr>
          <w:sz w:val="22"/>
          <w:szCs w:val="22"/>
        </w:rPr>
        <w:t xml:space="preserve">  This may have been the genesis of the language adopted in OBBBA for section 1202(a)(6)</w:t>
      </w:r>
      <w:r w:rsidR="00C31632">
        <w:rPr>
          <w:sz w:val="22"/>
          <w:szCs w:val="22"/>
        </w:rPr>
        <w:t>(B)</w:t>
      </w:r>
      <w:r w:rsidR="00FB1967">
        <w:rPr>
          <w:sz w:val="22"/>
          <w:szCs w:val="22"/>
        </w:rPr>
        <w:t>.</w:t>
      </w:r>
    </w:p>
    <w:p w:rsidR="007A1328" w:rsidP="00655A8B" w14:paraId="4BC63BCF" w14:textId="77777777">
      <w:pPr>
        <w:ind w:right="22" w:firstLine="720"/>
        <w:rPr>
          <w:sz w:val="22"/>
          <w:szCs w:val="22"/>
        </w:rPr>
      </w:pPr>
    </w:p>
    <w:p w:rsidR="00443A99" w:rsidP="00655A8B" w14:paraId="4996A560" w14:textId="04FFA447">
      <w:pPr>
        <w:ind w:right="22" w:firstLine="720"/>
        <w:rPr>
          <w:sz w:val="22"/>
          <w:szCs w:val="22"/>
        </w:rPr>
      </w:pPr>
      <w:r>
        <w:rPr>
          <w:sz w:val="22"/>
          <w:szCs w:val="22"/>
        </w:rPr>
        <w:t>Section 1045 of the Code allows a taxpayer to sell QSBS and defer the recognition of gain (</w:t>
      </w:r>
      <w:r w:rsidR="00C31632">
        <w:rPr>
          <w:sz w:val="22"/>
          <w:szCs w:val="22"/>
        </w:rPr>
        <w:t xml:space="preserve">typically </w:t>
      </w:r>
      <w:r w:rsidR="00E45CBB">
        <w:rPr>
          <w:sz w:val="22"/>
          <w:szCs w:val="22"/>
        </w:rPr>
        <w:t xml:space="preserve">recognized </w:t>
      </w:r>
      <w:r w:rsidR="00C31632">
        <w:rPr>
          <w:sz w:val="22"/>
          <w:szCs w:val="22"/>
        </w:rPr>
        <w:t>gain</w:t>
      </w:r>
      <w:r w:rsidR="00E45CBB">
        <w:rPr>
          <w:sz w:val="22"/>
          <w:szCs w:val="22"/>
        </w:rPr>
        <w:t xml:space="preserve"> that is</w:t>
      </w:r>
      <w:r w:rsidR="00C31632">
        <w:rPr>
          <w:sz w:val="22"/>
          <w:szCs w:val="22"/>
        </w:rPr>
        <w:t xml:space="preserve"> not eligible for exclusion</w:t>
      </w:r>
      <w:r>
        <w:rPr>
          <w:sz w:val="22"/>
          <w:szCs w:val="22"/>
        </w:rPr>
        <w:t>) by rolling the proceeds of the sale</w:t>
      </w:r>
      <w:r w:rsidR="00C31632">
        <w:rPr>
          <w:sz w:val="22"/>
          <w:szCs w:val="22"/>
        </w:rPr>
        <w:t>, tax free,</w:t>
      </w:r>
      <w:r>
        <w:rPr>
          <w:sz w:val="22"/>
          <w:szCs w:val="22"/>
        </w:rPr>
        <w:t xml:space="preserve"> into a new acquisition of QSBS</w:t>
      </w:r>
      <w:r w:rsidR="00E45CBB">
        <w:rPr>
          <w:sz w:val="22"/>
          <w:szCs w:val="22"/>
        </w:rPr>
        <w:t xml:space="preserve"> issued by</w:t>
      </w:r>
      <w:r w:rsidR="00DC2044">
        <w:rPr>
          <w:sz w:val="22"/>
          <w:szCs w:val="22"/>
        </w:rPr>
        <w:t xml:space="preserve"> a</w:t>
      </w:r>
      <w:r w:rsidR="00E45CBB">
        <w:rPr>
          <w:sz w:val="22"/>
          <w:szCs w:val="22"/>
        </w:rPr>
        <w:t xml:space="preserve"> different QSB, </w:t>
      </w:r>
      <w:r>
        <w:rPr>
          <w:sz w:val="22"/>
          <w:szCs w:val="22"/>
        </w:rPr>
        <w:t xml:space="preserve">within sixty days of the sale.  </w:t>
      </w:r>
      <w:r w:rsidR="00FB1967">
        <w:rPr>
          <w:sz w:val="22"/>
          <w:szCs w:val="22"/>
        </w:rPr>
        <w:t>Under section 1045 of the Code, the taxpayer must have held the QSBS for more than six months before the sale.  However, the taxpayer’s holding period for such stock will be determined without regard to section 1223 of the Code.</w:t>
      </w:r>
      <w:r>
        <w:rPr>
          <w:rStyle w:val="FootnoteReference"/>
          <w:sz w:val="22"/>
          <w:szCs w:val="22"/>
        </w:rPr>
        <w:footnoteReference w:id="19"/>
      </w:r>
      <w:r w:rsidR="00FB1967">
        <w:rPr>
          <w:sz w:val="22"/>
          <w:szCs w:val="22"/>
        </w:rPr>
        <w:t xml:space="preserve">  </w:t>
      </w:r>
      <w:r>
        <w:rPr>
          <w:sz w:val="22"/>
          <w:szCs w:val="22"/>
        </w:rPr>
        <w:t>For section 1045 rollover purposes, section 1223(13) of the Code provides, in pertinent part, “</w:t>
      </w:r>
      <w:r w:rsidRPr="0094530D">
        <w:rPr>
          <w:sz w:val="22"/>
          <w:szCs w:val="22"/>
        </w:rPr>
        <w:t>in determining the period for which the taxpayer has held property the acquisition</w:t>
      </w:r>
      <w:r>
        <w:rPr>
          <w:sz w:val="22"/>
          <w:szCs w:val="22"/>
        </w:rPr>
        <w:t xml:space="preserve"> </w:t>
      </w:r>
      <w:r w:rsidRPr="0094530D">
        <w:rPr>
          <w:sz w:val="22"/>
          <w:szCs w:val="22"/>
        </w:rPr>
        <w:t xml:space="preserve">of which resulted under section 1045 </w:t>
      </w:r>
      <w:r>
        <w:rPr>
          <w:sz w:val="22"/>
          <w:szCs w:val="22"/>
        </w:rPr>
        <w:t>…</w:t>
      </w:r>
      <w:r w:rsidRPr="0094530D">
        <w:rPr>
          <w:sz w:val="22"/>
          <w:szCs w:val="22"/>
        </w:rPr>
        <w:t xml:space="preserve"> in the nonrecognition of any part of the gain realized on the sale of other property</w:t>
      </w:r>
      <w:r>
        <w:rPr>
          <w:sz w:val="22"/>
          <w:szCs w:val="22"/>
        </w:rPr>
        <w:t xml:space="preserve"> </w:t>
      </w:r>
      <w:r w:rsidRPr="0094530D">
        <w:rPr>
          <w:sz w:val="22"/>
          <w:szCs w:val="22"/>
        </w:rPr>
        <w:t>there shall be included the period for which such other property has been held as</w:t>
      </w:r>
      <w:r>
        <w:rPr>
          <w:sz w:val="22"/>
          <w:szCs w:val="22"/>
        </w:rPr>
        <w:t xml:space="preserve"> </w:t>
      </w:r>
      <w:r w:rsidRPr="0094530D">
        <w:rPr>
          <w:sz w:val="22"/>
          <w:szCs w:val="22"/>
        </w:rPr>
        <w:t>of the date of such sale.</w:t>
      </w:r>
      <w:r>
        <w:rPr>
          <w:sz w:val="22"/>
          <w:szCs w:val="22"/>
        </w:rPr>
        <w:t>”</w:t>
      </w:r>
      <w:r>
        <w:rPr>
          <w:rStyle w:val="FootnoteReference"/>
          <w:sz w:val="22"/>
          <w:szCs w:val="22"/>
        </w:rPr>
        <w:footnoteReference w:id="20"/>
      </w:r>
      <w:r>
        <w:rPr>
          <w:sz w:val="22"/>
          <w:szCs w:val="22"/>
        </w:rPr>
        <w:t xml:space="preserve">  For section 351 purposes, section 1223(1) provides, “</w:t>
      </w:r>
      <w:r w:rsidRPr="00CB1E6F">
        <w:rPr>
          <w:sz w:val="22"/>
          <w:szCs w:val="22"/>
        </w:rPr>
        <w:t>In determining the period for which the taxpayer has held property received in an</w:t>
      </w:r>
      <w:r>
        <w:rPr>
          <w:sz w:val="22"/>
          <w:szCs w:val="22"/>
        </w:rPr>
        <w:t xml:space="preserve"> </w:t>
      </w:r>
      <w:r w:rsidRPr="00CB1E6F">
        <w:rPr>
          <w:sz w:val="22"/>
          <w:szCs w:val="22"/>
        </w:rPr>
        <w:t>exchange, there shall be included the period for which he held the property exchanged</w:t>
      </w:r>
      <w:r>
        <w:rPr>
          <w:sz w:val="22"/>
          <w:szCs w:val="22"/>
        </w:rPr>
        <w:t xml:space="preserve"> </w:t>
      </w:r>
      <w:r w:rsidRPr="00CB1E6F">
        <w:rPr>
          <w:sz w:val="22"/>
          <w:szCs w:val="22"/>
        </w:rPr>
        <w:t>if, under this chapter, the property has, for the purpose of determining gain or</w:t>
      </w:r>
      <w:r>
        <w:rPr>
          <w:sz w:val="22"/>
          <w:szCs w:val="22"/>
        </w:rPr>
        <w:t xml:space="preserve"> </w:t>
      </w:r>
      <w:r w:rsidRPr="00CB1E6F">
        <w:rPr>
          <w:sz w:val="22"/>
          <w:szCs w:val="22"/>
        </w:rPr>
        <w:t>loss from a sale or exchange, the same basis in whole or in part in his hands as</w:t>
      </w:r>
      <w:r>
        <w:rPr>
          <w:sz w:val="22"/>
          <w:szCs w:val="22"/>
        </w:rPr>
        <w:t xml:space="preserve"> </w:t>
      </w:r>
      <w:r w:rsidRPr="00CB1E6F">
        <w:rPr>
          <w:sz w:val="22"/>
          <w:szCs w:val="22"/>
        </w:rPr>
        <w:t>the property exchanged, and, in the case of such exchanges the property exchanged</w:t>
      </w:r>
      <w:r>
        <w:rPr>
          <w:sz w:val="22"/>
          <w:szCs w:val="22"/>
        </w:rPr>
        <w:t xml:space="preserve"> </w:t>
      </w:r>
      <w:r w:rsidRPr="00CB1E6F">
        <w:rPr>
          <w:sz w:val="22"/>
          <w:szCs w:val="22"/>
        </w:rPr>
        <w:t>at the time of such exchange was a capital asset as defined in section 1221 or property described in section 1231.</w:t>
      </w:r>
      <w:r>
        <w:rPr>
          <w:sz w:val="22"/>
          <w:szCs w:val="22"/>
        </w:rPr>
        <w:t>”</w:t>
      </w:r>
      <w:r>
        <w:rPr>
          <w:rStyle w:val="FootnoteReference"/>
          <w:sz w:val="22"/>
          <w:szCs w:val="22"/>
        </w:rPr>
        <w:footnoteReference w:id="21"/>
      </w:r>
      <w:r>
        <w:rPr>
          <w:sz w:val="22"/>
          <w:szCs w:val="22"/>
        </w:rPr>
        <w:t xml:space="preserve">  Further, section 1223(2) states, “</w:t>
      </w:r>
      <w:r w:rsidRPr="001A7E71">
        <w:rPr>
          <w:sz w:val="22"/>
          <w:szCs w:val="22"/>
        </w:rPr>
        <w:t>In determining the period for which the taxpayer has held property however acquired there shall be included</w:t>
      </w:r>
      <w:r>
        <w:rPr>
          <w:sz w:val="22"/>
          <w:szCs w:val="22"/>
        </w:rPr>
        <w:t xml:space="preserve"> </w:t>
      </w:r>
      <w:r w:rsidRPr="001A7E71">
        <w:rPr>
          <w:sz w:val="22"/>
          <w:szCs w:val="22"/>
        </w:rPr>
        <w:t>the period for which such property was held by any other person, if under this chapter such property has, for the</w:t>
      </w:r>
      <w:r>
        <w:rPr>
          <w:sz w:val="22"/>
          <w:szCs w:val="22"/>
        </w:rPr>
        <w:t xml:space="preserve"> </w:t>
      </w:r>
      <w:r w:rsidRPr="001A7E71">
        <w:rPr>
          <w:sz w:val="22"/>
          <w:szCs w:val="22"/>
        </w:rPr>
        <w:t>purpose of determining gain or loss from a sale or exchange, the same basis in whole or in part in his hands as it would</w:t>
      </w:r>
      <w:r>
        <w:rPr>
          <w:sz w:val="22"/>
          <w:szCs w:val="22"/>
        </w:rPr>
        <w:t xml:space="preserve"> </w:t>
      </w:r>
      <w:r w:rsidRPr="001A7E71">
        <w:rPr>
          <w:sz w:val="22"/>
          <w:szCs w:val="22"/>
        </w:rPr>
        <w:t>have in the hands of such other person</w:t>
      </w:r>
      <w:r>
        <w:rPr>
          <w:sz w:val="22"/>
          <w:szCs w:val="22"/>
        </w:rPr>
        <w:t>.</w:t>
      </w:r>
      <w:r w:rsidRPr="001A7E71">
        <w:rPr>
          <w:sz w:val="22"/>
          <w:szCs w:val="22"/>
        </w:rPr>
        <w:t>”</w:t>
      </w:r>
      <w:r>
        <w:rPr>
          <w:sz w:val="22"/>
          <w:szCs w:val="22"/>
        </w:rPr>
        <w:t xml:space="preserve">  </w:t>
      </w:r>
      <w:r w:rsidRPr="001A7E71">
        <w:rPr>
          <w:sz w:val="22"/>
          <w:szCs w:val="22"/>
        </w:rPr>
        <w:t>Except for section 1223(10) relating to the holding period of property acquired upon the death of decedent, all of the subsections in section 1223 provide for the inclusion of time prior to</w:t>
      </w:r>
      <w:r w:rsidR="00E45CBB">
        <w:rPr>
          <w:sz w:val="22"/>
          <w:szCs w:val="22"/>
        </w:rPr>
        <w:t xml:space="preserve"> the</w:t>
      </w:r>
      <w:r w:rsidRPr="001A7E71">
        <w:rPr>
          <w:sz w:val="22"/>
          <w:szCs w:val="22"/>
        </w:rPr>
        <w:t xml:space="preserve"> </w:t>
      </w:r>
      <w:r>
        <w:rPr>
          <w:sz w:val="22"/>
          <w:szCs w:val="22"/>
        </w:rPr>
        <w:t xml:space="preserve">tax-free </w:t>
      </w:r>
      <w:r w:rsidRPr="001A7E71">
        <w:rPr>
          <w:sz w:val="22"/>
          <w:szCs w:val="22"/>
        </w:rPr>
        <w:t xml:space="preserve">exchange (or other transaction) and a relation back to prior ownership.  As such, the flush language of sections 1202(a)(3) and (a)(4) </w:t>
      </w:r>
      <w:r>
        <w:rPr>
          <w:sz w:val="22"/>
          <w:szCs w:val="22"/>
        </w:rPr>
        <w:t xml:space="preserve">(and now section 1202(a)(6)(B) added by OBBBA) </w:t>
      </w:r>
      <w:r w:rsidRPr="001A7E71">
        <w:rPr>
          <w:sz w:val="22"/>
          <w:szCs w:val="22"/>
        </w:rPr>
        <w:t xml:space="preserve">is broad enough to say that for purposes of determining the QSBS acquisition date, section 1223 could predate the creation of the C corporation if properties are contributed under section 351 of the Code (including a conversion of a </w:t>
      </w:r>
      <w:r>
        <w:rPr>
          <w:sz w:val="22"/>
          <w:szCs w:val="22"/>
        </w:rPr>
        <w:t>pass-through entity</w:t>
      </w:r>
      <w:r w:rsidRPr="001A7E71">
        <w:rPr>
          <w:sz w:val="22"/>
          <w:szCs w:val="22"/>
        </w:rPr>
        <w:t xml:space="preserve"> to a C corporation).</w:t>
      </w:r>
    </w:p>
    <w:p w:rsidR="00657BD1" w:rsidP="00655A8B" w14:paraId="36903382" w14:textId="77777777">
      <w:pPr>
        <w:ind w:right="22" w:firstLine="720"/>
        <w:rPr>
          <w:sz w:val="22"/>
          <w:szCs w:val="22"/>
        </w:rPr>
      </w:pPr>
    </w:p>
    <w:p w:rsidR="00657BD1" w:rsidP="00655A8B" w14:paraId="1A70FF30" w14:textId="6C5BFDDA">
      <w:pPr>
        <w:ind w:right="22" w:firstLine="720"/>
        <w:rPr>
          <w:sz w:val="22"/>
          <w:szCs w:val="22"/>
        </w:rPr>
      </w:pPr>
      <w:bookmarkStart w:id="4" w:name="_Hlk209365515"/>
      <w:r w:rsidRPr="001A7E71">
        <w:rPr>
          <w:sz w:val="22"/>
          <w:szCs w:val="22"/>
        </w:rPr>
        <w:t>Thus,</w:t>
      </w:r>
      <w:r>
        <w:rPr>
          <w:sz w:val="22"/>
          <w:szCs w:val="22"/>
        </w:rPr>
        <w:t xml:space="preserve"> for example, </w:t>
      </w:r>
      <w:r w:rsidR="00456420">
        <w:rPr>
          <w:sz w:val="22"/>
          <w:szCs w:val="22"/>
        </w:rPr>
        <w:t xml:space="preserve">consider </w:t>
      </w:r>
      <w:r>
        <w:rPr>
          <w:sz w:val="22"/>
          <w:szCs w:val="22"/>
        </w:rPr>
        <w:t>a taxpayer</w:t>
      </w:r>
      <w:r w:rsidR="00456420">
        <w:rPr>
          <w:sz w:val="22"/>
          <w:szCs w:val="22"/>
        </w:rPr>
        <w:t xml:space="preserve"> who</w:t>
      </w:r>
      <w:r>
        <w:rPr>
          <w:sz w:val="22"/>
          <w:szCs w:val="22"/>
        </w:rPr>
        <w:t xml:space="preserve"> purchases business property which is a capital asset on January 1, 2015.  On July 5, 2025, a day after the enactment of OBBBA, taxpayer contributes the property to a newly created C corporation in exchange for originally issued shares of the QSB corporation in a section 351 transaction.  Under section 1223, the holding </w:t>
      </w:r>
      <w:r w:rsidR="00456420">
        <w:rPr>
          <w:sz w:val="22"/>
          <w:szCs w:val="22"/>
        </w:rPr>
        <w:t>period</w:t>
      </w:r>
      <w:r>
        <w:rPr>
          <w:sz w:val="22"/>
          <w:szCs w:val="22"/>
        </w:rPr>
        <w:t xml:space="preserve"> of the </w:t>
      </w:r>
      <w:r w:rsidR="00011314">
        <w:rPr>
          <w:sz w:val="22"/>
          <w:szCs w:val="22"/>
        </w:rPr>
        <w:t xml:space="preserve">QSB </w:t>
      </w:r>
      <w:r>
        <w:rPr>
          <w:sz w:val="22"/>
          <w:szCs w:val="22"/>
        </w:rPr>
        <w:t xml:space="preserve">shares would </w:t>
      </w:r>
      <w:r w:rsidR="00456420">
        <w:rPr>
          <w:sz w:val="22"/>
          <w:szCs w:val="22"/>
        </w:rPr>
        <w:t xml:space="preserve">be deemed to have </w:t>
      </w:r>
      <w:r>
        <w:rPr>
          <w:sz w:val="22"/>
          <w:szCs w:val="22"/>
        </w:rPr>
        <w:t>start</w:t>
      </w:r>
      <w:r w:rsidR="00456420">
        <w:rPr>
          <w:sz w:val="22"/>
          <w:szCs w:val="22"/>
        </w:rPr>
        <w:t>ed</w:t>
      </w:r>
      <w:r>
        <w:rPr>
          <w:sz w:val="22"/>
          <w:szCs w:val="22"/>
        </w:rPr>
        <w:t xml:space="preserve"> on January 1, 2015.  In that case, the taxpayer would be deemed to immediately have a holding period of more than 10 years (satisfying the eligible gain </w:t>
      </w:r>
      <w:r>
        <w:rPr>
          <w:sz w:val="22"/>
          <w:szCs w:val="22"/>
        </w:rPr>
        <w:t xml:space="preserve">holding period requirement) and the taxpayer’s </w:t>
      </w:r>
      <w:r w:rsidR="00E45CBB">
        <w:rPr>
          <w:sz w:val="22"/>
          <w:szCs w:val="22"/>
        </w:rPr>
        <w:t>“</w:t>
      </w:r>
      <w:r>
        <w:rPr>
          <w:sz w:val="22"/>
          <w:szCs w:val="22"/>
        </w:rPr>
        <w:t>Per-Taxpayer Limitation</w:t>
      </w:r>
      <w:r w:rsidR="00E45CBB">
        <w:rPr>
          <w:sz w:val="22"/>
          <w:szCs w:val="22"/>
        </w:rPr>
        <w:t>” (defined and discussed below)</w:t>
      </w:r>
      <w:r>
        <w:rPr>
          <w:sz w:val="22"/>
          <w:szCs w:val="22"/>
        </w:rPr>
        <w:t xml:space="preserve"> would be $10 million (not $15 million under OBBBA).  What if the taxpayer had originally acquired the property in 1992, prior to the enactment of section 1202?  What if the taxpayer had acquired several pieces of property in 2005, 2009, and 2020?  There seems to be no tax policy rationale to have different </w:t>
      </w:r>
      <w:r w:rsidR="00011314">
        <w:rPr>
          <w:sz w:val="22"/>
          <w:szCs w:val="22"/>
        </w:rPr>
        <w:t>“</w:t>
      </w:r>
      <w:r>
        <w:rPr>
          <w:sz w:val="22"/>
          <w:szCs w:val="22"/>
        </w:rPr>
        <w:t>acquisitions dates” for section 12</w:t>
      </w:r>
      <w:r w:rsidR="00DC2044">
        <w:rPr>
          <w:sz w:val="22"/>
          <w:szCs w:val="22"/>
        </w:rPr>
        <w:t>0</w:t>
      </w:r>
      <w:r>
        <w:rPr>
          <w:sz w:val="22"/>
          <w:szCs w:val="22"/>
        </w:rPr>
        <w:t>2 purposes for a QSB corporation newly created after the enactment of OBBBA.</w:t>
      </w:r>
      <w:bookmarkEnd w:id="4"/>
    </w:p>
    <w:p w:rsidR="00657BD1" w:rsidP="00655A8B" w14:paraId="57DBFFC4" w14:textId="77777777">
      <w:pPr>
        <w:ind w:right="22" w:firstLine="720"/>
        <w:rPr>
          <w:sz w:val="22"/>
          <w:szCs w:val="22"/>
        </w:rPr>
      </w:pPr>
    </w:p>
    <w:p w:rsidR="00443A99" w:rsidP="00655A8B" w14:paraId="191ED661" w14:textId="202362D8">
      <w:pPr>
        <w:ind w:right="22" w:firstLine="720"/>
        <w:rPr>
          <w:sz w:val="22"/>
          <w:szCs w:val="22"/>
        </w:rPr>
      </w:pPr>
      <w:r>
        <w:rPr>
          <w:sz w:val="22"/>
          <w:szCs w:val="22"/>
        </w:rPr>
        <w:t>Contrary to the foregoing, section 1202(i)(1) provides, in pertinent part, “In the case where the taxpayer transfers property (other than money or stock) to a corporation in exchange for stock in such corporation… such stock shall be treated as having been acquired by the taxpayer on the date of such exchange.”</w:t>
      </w:r>
      <w:r>
        <w:rPr>
          <w:rStyle w:val="FootnoteReference"/>
          <w:sz w:val="22"/>
          <w:szCs w:val="22"/>
        </w:rPr>
        <w:footnoteReference w:id="22"/>
      </w:r>
      <w:r>
        <w:rPr>
          <w:sz w:val="22"/>
          <w:szCs w:val="22"/>
        </w:rPr>
        <w:t xml:space="preserve">  </w:t>
      </w:r>
      <w:r w:rsidR="00E45CBB">
        <w:rPr>
          <w:sz w:val="22"/>
          <w:szCs w:val="22"/>
        </w:rPr>
        <w:t>Section 1202(i)</w:t>
      </w:r>
      <w:r>
        <w:rPr>
          <w:sz w:val="22"/>
          <w:szCs w:val="22"/>
        </w:rPr>
        <w:t xml:space="preserve"> makes clear that this rule applies “For purposes of this section,”</w:t>
      </w:r>
      <w:r>
        <w:rPr>
          <w:rStyle w:val="FootnoteReference"/>
          <w:sz w:val="22"/>
          <w:szCs w:val="22"/>
        </w:rPr>
        <w:footnoteReference w:id="23"/>
      </w:r>
      <w:r>
        <w:rPr>
          <w:sz w:val="22"/>
          <w:szCs w:val="22"/>
        </w:rPr>
        <w:t xml:space="preserve"> namely for purposes of section 1202.  Section 1202(i) was enacted with the original statute in 1993, and as mentioned above, the 75% and 100% exclusions were added in 2009 and 2010 respectively, but the flush language was added in 2012.</w:t>
      </w:r>
      <w:r>
        <w:rPr>
          <w:rStyle w:val="FootnoteReference"/>
          <w:sz w:val="22"/>
          <w:szCs w:val="22"/>
        </w:rPr>
        <w:footnoteReference w:id="24"/>
      </w:r>
      <w:r>
        <w:rPr>
          <w:sz w:val="22"/>
          <w:szCs w:val="22"/>
        </w:rPr>
        <w:t xml:space="preserve">  The issue is whether the flush language overrides section 1202(i), which we believe it does not, or whether the flush language applies for some purpose other than for determining the acquisition date of the QSBS.</w:t>
      </w:r>
    </w:p>
    <w:p w:rsidR="00657BD1" w:rsidP="00655A8B" w14:paraId="6A7CBA50" w14:textId="77777777">
      <w:pPr>
        <w:ind w:right="22" w:firstLine="720"/>
        <w:rPr>
          <w:sz w:val="22"/>
          <w:szCs w:val="22"/>
        </w:rPr>
      </w:pPr>
    </w:p>
    <w:p w:rsidR="00FB1967" w:rsidP="00FB1967" w14:paraId="38A4B0B9" w14:textId="1768BFBA">
      <w:pPr>
        <w:ind w:right="22" w:firstLine="720"/>
        <w:rPr>
          <w:sz w:val="22"/>
          <w:szCs w:val="22"/>
        </w:rPr>
      </w:pPr>
      <w:r>
        <w:rPr>
          <w:sz w:val="22"/>
          <w:szCs w:val="22"/>
        </w:rPr>
        <w:t>The authors of an excellent article on QSBS</w:t>
      </w:r>
      <w:r>
        <w:rPr>
          <w:rStyle w:val="FootnoteReference"/>
          <w:sz w:val="22"/>
          <w:szCs w:val="22"/>
        </w:rPr>
        <w:footnoteReference w:id="25"/>
      </w:r>
      <w:r>
        <w:rPr>
          <w:sz w:val="22"/>
          <w:szCs w:val="22"/>
        </w:rPr>
        <w:t xml:space="preserve"> researched the legislative history and have rightfully concluded that the flush language</w:t>
      </w:r>
      <w:r>
        <w:rPr>
          <w:sz w:val="22"/>
          <w:szCs w:val="22"/>
        </w:rPr>
        <w:t xml:space="preserve"> in </w:t>
      </w:r>
      <w:r w:rsidRPr="001A7E71">
        <w:rPr>
          <w:sz w:val="22"/>
          <w:szCs w:val="22"/>
        </w:rPr>
        <w:t>sections 1202(a)(3) and (a)(4)</w:t>
      </w:r>
      <w:r>
        <w:rPr>
          <w:sz w:val="22"/>
          <w:szCs w:val="22"/>
        </w:rPr>
        <w:t xml:space="preserve"> applies only for section 1045 rollover purposes (not for section 351 purposes).  The authors point to the Senate report,</w:t>
      </w:r>
      <w:r>
        <w:rPr>
          <w:rStyle w:val="FootnoteReference"/>
          <w:sz w:val="22"/>
          <w:szCs w:val="22"/>
        </w:rPr>
        <w:footnoteReference w:id="26"/>
      </w:r>
      <w:r>
        <w:rPr>
          <w:sz w:val="22"/>
          <w:szCs w:val="22"/>
        </w:rPr>
        <w:t xml:space="preserve"> which focused on section 1045 rollovers, and to the </w:t>
      </w:r>
      <w:r w:rsidRPr="007F1AE1">
        <w:rPr>
          <w:sz w:val="22"/>
          <w:szCs w:val="22"/>
        </w:rPr>
        <w:t>Joint Committee on Taxation’s report</w:t>
      </w:r>
      <w:r>
        <w:rPr>
          <w:sz w:val="22"/>
          <w:szCs w:val="22"/>
        </w:rPr>
        <w:t xml:space="preserve"> which includes the following statement: “</w:t>
      </w:r>
      <w:r w:rsidRPr="00252174">
        <w:rPr>
          <w:sz w:val="22"/>
          <w:szCs w:val="22"/>
          <w:lang w:eastAsia="en-US"/>
        </w:rPr>
        <w:t>The provision is not intended to change the acquisition date determined under Section 1202(i)(1)(A) for certain stock exchanged for property.”</w:t>
      </w:r>
      <w:r>
        <w:rPr>
          <w:rStyle w:val="FootnoteReference"/>
          <w:sz w:val="22"/>
          <w:szCs w:val="22"/>
          <w:lang w:eastAsia="en-US"/>
        </w:rPr>
        <w:footnoteReference w:id="27"/>
      </w:r>
      <w:r>
        <w:rPr>
          <w:sz w:val="22"/>
          <w:szCs w:val="22"/>
          <w:lang w:eastAsia="en-US"/>
        </w:rPr>
        <w:t xml:space="preserve">  Just as persuasively, the authors point out that if the flush language applied for property contribution purposes (section 351), it would create inconsistent results that were never intended.  They write, “</w:t>
      </w:r>
      <w:r w:rsidRPr="00B73070">
        <w:rPr>
          <w:sz w:val="22"/>
          <w:szCs w:val="22"/>
        </w:rPr>
        <w:t>Interpreting the flush language to apply to property contributions could lead to inconsistent outcomes for founders and investors. For example, if a founder contributed a patent obtained before September 28, 2010, to a new corporation that is capitalized by an investor, the investor would get the 100 percent exclusion, but</w:t>
      </w:r>
      <w:r>
        <w:rPr>
          <w:sz w:val="22"/>
          <w:szCs w:val="22"/>
        </w:rPr>
        <w:t xml:space="preserve"> </w:t>
      </w:r>
      <w:r w:rsidRPr="00B73070">
        <w:rPr>
          <w:sz w:val="22"/>
          <w:szCs w:val="22"/>
        </w:rPr>
        <w:t>the founder would not.</w:t>
      </w:r>
      <w:r>
        <w:rPr>
          <w:sz w:val="22"/>
          <w:szCs w:val="22"/>
        </w:rPr>
        <w:t>”</w:t>
      </w:r>
      <w:r>
        <w:rPr>
          <w:rStyle w:val="FootnoteReference"/>
          <w:sz w:val="22"/>
          <w:szCs w:val="22"/>
        </w:rPr>
        <w:footnoteReference w:id="28"/>
      </w:r>
    </w:p>
    <w:p w:rsidR="00655A8B" w:rsidP="00655A8B" w14:paraId="23A8DFBA" w14:textId="77777777">
      <w:pPr>
        <w:ind w:right="22"/>
        <w:rPr>
          <w:sz w:val="22"/>
          <w:szCs w:val="22"/>
        </w:rPr>
      </w:pPr>
    </w:p>
    <w:p w:rsidR="00655A8B" w:rsidP="00BA66D8" w14:paraId="36F756D9" w14:textId="1255F7D4">
      <w:pPr>
        <w:keepNext/>
        <w:keepLines/>
        <w:numPr>
          <w:ilvl w:val="2"/>
          <w:numId w:val="2"/>
        </w:numPr>
        <w:rPr>
          <w:sz w:val="22"/>
          <w:szCs w:val="22"/>
        </w:rPr>
      </w:pPr>
      <w:r>
        <w:rPr>
          <w:sz w:val="22"/>
          <w:szCs w:val="22"/>
        </w:rPr>
        <w:t>Solution</w:t>
      </w:r>
    </w:p>
    <w:p w:rsidR="009A50D2" w:rsidP="00BA66D8" w14:paraId="5788D8D2" w14:textId="77777777">
      <w:pPr>
        <w:keepNext/>
        <w:keepLines/>
        <w:ind w:left="720"/>
        <w:rPr>
          <w:sz w:val="22"/>
          <w:szCs w:val="22"/>
        </w:rPr>
      </w:pPr>
    </w:p>
    <w:p w:rsidR="009A50D2" w:rsidP="00BA66D8" w14:paraId="79AFDEBD" w14:textId="2419BFEC">
      <w:pPr>
        <w:keepNext/>
        <w:keepLines/>
        <w:ind w:left="720"/>
        <w:rPr>
          <w:sz w:val="22"/>
          <w:szCs w:val="22"/>
        </w:rPr>
      </w:pPr>
      <w:r>
        <w:rPr>
          <w:sz w:val="22"/>
          <w:szCs w:val="22"/>
        </w:rPr>
        <w:t>We respectfully request the following:</w:t>
      </w:r>
    </w:p>
    <w:p w:rsidR="009A50D2" w:rsidP="00BA66D8" w14:paraId="6B00F4E4" w14:textId="77777777">
      <w:pPr>
        <w:keepNext/>
        <w:keepLines/>
        <w:ind w:left="720"/>
        <w:rPr>
          <w:sz w:val="22"/>
          <w:szCs w:val="22"/>
        </w:rPr>
      </w:pPr>
    </w:p>
    <w:p w:rsidR="009A50D2" w:rsidP="00BA66D8" w14:paraId="1EBFAEF7" w14:textId="1447CFCD">
      <w:pPr>
        <w:pStyle w:val="ListParagraph"/>
        <w:keepNext/>
        <w:keepLines/>
        <w:numPr>
          <w:ilvl w:val="0"/>
          <w:numId w:val="9"/>
        </w:numPr>
        <w:rPr>
          <w:sz w:val="22"/>
          <w:szCs w:val="22"/>
        </w:rPr>
      </w:pPr>
      <w:bookmarkStart w:id="5" w:name="_Hlk209365755"/>
      <w:r>
        <w:rPr>
          <w:sz w:val="22"/>
          <w:szCs w:val="22"/>
        </w:rPr>
        <w:t>Make a</w:t>
      </w:r>
      <w:r w:rsidRPr="009A50D2">
        <w:rPr>
          <w:sz w:val="22"/>
          <w:szCs w:val="22"/>
        </w:rPr>
        <w:t xml:space="preserve"> technical correction to section 70431</w:t>
      </w:r>
      <w:r>
        <w:rPr>
          <w:sz w:val="22"/>
          <w:szCs w:val="22"/>
        </w:rPr>
        <w:t>(a) of OBBBA that provides that the “acquisition date” definition of section 1202(a)(6)(B) shall not be determined after the application of section 1223.</w:t>
      </w:r>
      <w:bookmarkEnd w:id="5"/>
    </w:p>
    <w:p w:rsidR="009A50D2" w:rsidP="009A50D2" w14:paraId="0EAF5837" w14:textId="77777777">
      <w:pPr>
        <w:pStyle w:val="ListParagraph"/>
        <w:ind w:left="1080" w:right="22"/>
        <w:rPr>
          <w:sz w:val="22"/>
          <w:szCs w:val="22"/>
        </w:rPr>
      </w:pPr>
    </w:p>
    <w:p w:rsidR="009A50D2" w:rsidP="009A50D2" w14:paraId="7902054B" w14:textId="7A727324">
      <w:pPr>
        <w:pStyle w:val="ListParagraph"/>
        <w:numPr>
          <w:ilvl w:val="0"/>
          <w:numId w:val="9"/>
        </w:numPr>
        <w:ind w:right="22"/>
        <w:rPr>
          <w:sz w:val="22"/>
          <w:szCs w:val="22"/>
        </w:rPr>
      </w:pPr>
      <w:bookmarkStart w:id="6" w:name="_Hlk209365765"/>
      <w:r>
        <w:rPr>
          <w:sz w:val="22"/>
          <w:szCs w:val="22"/>
        </w:rPr>
        <w:t>Provide guidance on the flush language in sections 1202(a)(3) and (a)(4) that makes it clear that the reference to section 1223</w:t>
      </w:r>
      <w:r w:rsidR="00454C99">
        <w:rPr>
          <w:sz w:val="22"/>
          <w:szCs w:val="22"/>
        </w:rPr>
        <w:t xml:space="preserve"> is for purposes of section 1045.</w:t>
      </w:r>
      <w:bookmarkEnd w:id="6"/>
    </w:p>
    <w:p w:rsidR="00454C99" w:rsidRPr="00454C99" w:rsidP="00454C99" w14:paraId="5F104B47" w14:textId="77777777">
      <w:pPr>
        <w:pStyle w:val="ListParagraph"/>
        <w:rPr>
          <w:sz w:val="22"/>
          <w:szCs w:val="22"/>
        </w:rPr>
      </w:pPr>
    </w:p>
    <w:p w:rsidR="00454C99" w:rsidRPr="009A50D2" w:rsidP="009A50D2" w14:paraId="1CF7875A" w14:textId="3D2BA33C">
      <w:pPr>
        <w:pStyle w:val="ListParagraph"/>
        <w:numPr>
          <w:ilvl w:val="0"/>
          <w:numId w:val="9"/>
        </w:numPr>
        <w:ind w:right="22"/>
        <w:rPr>
          <w:sz w:val="22"/>
          <w:szCs w:val="22"/>
        </w:rPr>
      </w:pPr>
      <w:bookmarkStart w:id="7" w:name="_Hlk209365777"/>
      <w:r>
        <w:rPr>
          <w:sz w:val="22"/>
          <w:szCs w:val="22"/>
        </w:rPr>
        <w:t>Provide guidance that the acquisition date for purposes of determining a taxpayer’s holding period for QSBS purposes is determined under the rule set out in section 1202(i)(1).</w:t>
      </w:r>
      <w:bookmarkEnd w:id="7"/>
    </w:p>
    <w:p w:rsidR="009A50D2" w:rsidP="009A50D2" w14:paraId="46C9BC7D" w14:textId="77777777">
      <w:pPr>
        <w:ind w:left="567" w:right="22"/>
        <w:rPr>
          <w:sz w:val="22"/>
          <w:szCs w:val="22"/>
        </w:rPr>
      </w:pPr>
    </w:p>
    <w:p w:rsidR="00DB6413" w14:paraId="153298B9" w14:textId="18607087">
      <w:pPr>
        <w:numPr>
          <w:ilvl w:val="1"/>
          <w:numId w:val="2"/>
        </w:numPr>
        <w:ind w:right="22"/>
        <w:rPr>
          <w:sz w:val="22"/>
          <w:szCs w:val="22"/>
        </w:rPr>
      </w:pPr>
      <w:r>
        <w:rPr>
          <w:sz w:val="22"/>
          <w:szCs w:val="22"/>
        </w:rPr>
        <w:t xml:space="preserve">Per-Issuer Limitation and the </w:t>
      </w:r>
      <w:r w:rsidR="00A40C8B">
        <w:rPr>
          <w:sz w:val="22"/>
          <w:szCs w:val="22"/>
        </w:rPr>
        <w:t>Per-Taxpayer Limitation</w:t>
      </w:r>
    </w:p>
    <w:p w:rsidR="000E3DFC" w:rsidP="000E3DFC" w14:paraId="6F6B6EA0" w14:textId="77777777">
      <w:pPr>
        <w:ind w:left="567" w:right="22"/>
        <w:rPr>
          <w:sz w:val="22"/>
          <w:szCs w:val="22"/>
        </w:rPr>
      </w:pPr>
    </w:p>
    <w:p w:rsidR="000E3DFC" w:rsidRPr="0085223D" w14:paraId="7AA637B3" w14:textId="65056CC9">
      <w:pPr>
        <w:numPr>
          <w:ilvl w:val="2"/>
          <w:numId w:val="2"/>
        </w:numPr>
        <w:ind w:right="22"/>
        <w:rPr>
          <w:sz w:val="22"/>
          <w:szCs w:val="22"/>
        </w:rPr>
      </w:pPr>
      <w:r>
        <w:rPr>
          <w:sz w:val="22"/>
          <w:szCs w:val="22"/>
        </w:rPr>
        <w:t>OBBBA Amendment</w:t>
      </w:r>
    </w:p>
    <w:p w:rsidR="00963E81" w:rsidP="00963E81" w14:paraId="62C87DE1" w14:textId="77777777">
      <w:pPr>
        <w:ind w:right="22"/>
        <w:rPr>
          <w:sz w:val="22"/>
          <w:szCs w:val="22"/>
        </w:rPr>
      </w:pPr>
    </w:p>
    <w:p w:rsidR="000E3DFC" w:rsidP="00FE79AA" w14:paraId="063AF3EE" w14:textId="216B8226">
      <w:pPr>
        <w:ind w:right="22" w:firstLine="567"/>
        <w:rPr>
          <w:sz w:val="22"/>
          <w:szCs w:val="22"/>
        </w:rPr>
      </w:pPr>
      <w:r>
        <w:rPr>
          <w:sz w:val="22"/>
          <w:szCs w:val="22"/>
        </w:rPr>
        <w:t xml:space="preserve">The Code provides a Per-Issuer Limitation, which prescribes the maximum gain that can be excluded under section 1202(a) of the Code by a taxpayer in a taxable year.  In </w:t>
      </w:r>
      <w:r w:rsidR="00011314">
        <w:rPr>
          <w:sz w:val="22"/>
          <w:szCs w:val="22"/>
        </w:rPr>
        <w:t xml:space="preserve">defining </w:t>
      </w:r>
      <w:r>
        <w:rPr>
          <w:sz w:val="22"/>
          <w:szCs w:val="22"/>
        </w:rPr>
        <w:t xml:space="preserve">the Per-Issuer Limitation </w:t>
      </w:r>
      <w:r w:rsidR="00011314">
        <w:rPr>
          <w:sz w:val="22"/>
          <w:szCs w:val="22"/>
        </w:rPr>
        <w:t>to</w:t>
      </w:r>
      <w:r>
        <w:rPr>
          <w:sz w:val="22"/>
          <w:szCs w:val="22"/>
        </w:rPr>
        <w:t xml:space="preserve"> eligible gain</w:t>
      </w:r>
      <w:r w:rsidR="00011314">
        <w:rPr>
          <w:sz w:val="22"/>
          <w:szCs w:val="22"/>
        </w:rPr>
        <w:t xml:space="preserve">, </w:t>
      </w:r>
      <w:r>
        <w:rPr>
          <w:sz w:val="22"/>
          <w:szCs w:val="22"/>
        </w:rPr>
        <w:t>OBBBA adds the term “applicable dollar limit” (“Applicable Dollar Limit”) to accommodate the increase of the $10 </w:t>
      </w:r>
      <w:r w:rsidR="00011314">
        <w:rPr>
          <w:sz w:val="22"/>
          <w:szCs w:val="22"/>
        </w:rPr>
        <w:t>m</w:t>
      </w:r>
      <w:r>
        <w:rPr>
          <w:sz w:val="22"/>
          <w:szCs w:val="22"/>
        </w:rPr>
        <w:t>illion Per</w:t>
      </w:r>
      <w:r w:rsidR="00011314">
        <w:rPr>
          <w:sz w:val="22"/>
          <w:szCs w:val="22"/>
        </w:rPr>
        <w:t>-</w:t>
      </w:r>
      <w:r>
        <w:rPr>
          <w:sz w:val="22"/>
          <w:szCs w:val="22"/>
        </w:rPr>
        <w:t>Taxpayer Limitation to $15 million for stock acquired by a taxpayer after the applicable date.</w:t>
      </w:r>
      <w:r>
        <w:rPr>
          <w:rStyle w:val="FootnoteReference"/>
          <w:sz w:val="22"/>
          <w:szCs w:val="22"/>
        </w:rPr>
        <w:footnoteReference w:id="29"/>
      </w:r>
    </w:p>
    <w:p w:rsidR="00097253" w:rsidP="00FE79AA" w14:paraId="68148D17" w14:textId="77777777">
      <w:pPr>
        <w:ind w:right="22" w:firstLine="567"/>
        <w:rPr>
          <w:sz w:val="22"/>
          <w:szCs w:val="22"/>
        </w:rPr>
      </w:pPr>
    </w:p>
    <w:p w:rsidR="00097253" w:rsidP="00FE79AA" w14:paraId="72EB1C2D" w14:textId="699DFBA0">
      <w:pPr>
        <w:ind w:right="22" w:firstLine="567"/>
        <w:rPr>
          <w:sz w:val="22"/>
          <w:szCs w:val="22"/>
        </w:rPr>
      </w:pPr>
      <w:bookmarkStart w:id="8" w:name="_Hlk209365842"/>
      <w:r>
        <w:rPr>
          <w:sz w:val="22"/>
          <w:szCs w:val="22"/>
        </w:rPr>
        <w:t>T</w:t>
      </w:r>
      <w:r w:rsidRPr="00EC47D1">
        <w:rPr>
          <w:sz w:val="22"/>
          <w:szCs w:val="22"/>
        </w:rPr>
        <w:t xml:space="preserve">he </w:t>
      </w:r>
      <w:r>
        <w:rPr>
          <w:sz w:val="22"/>
          <w:szCs w:val="22"/>
        </w:rPr>
        <w:t>P</w:t>
      </w:r>
      <w:r w:rsidRPr="00EC47D1">
        <w:rPr>
          <w:sz w:val="22"/>
          <w:szCs w:val="22"/>
        </w:rPr>
        <w:t>er-</w:t>
      </w:r>
      <w:r>
        <w:rPr>
          <w:sz w:val="22"/>
          <w:szCs w:val="22"/>
        </w:rPr>
        <w:t>I</w:t>
      </w:r>
      <w:r w:rsidRPr="00EC47D1">
        <w:rPr>
          <w:sz w:val="22"/>
          <w:szCs w:val="22"/>
        </w:rPr>
        <w:t xml:space="preserve">ssuer </w:t>
      </w:r>
      <w:r>
        <w:rPr>
          <w:sz w:val="22"/>
          <w:szCs w:val="22"/>
        </w:rPr>
        <w:t>L</w:t>
      </w:r>
      <w:r w:rsidRPr="00EC47D1">
        <w:rPr>
          <w:sz w:val="22"/>
          <w:szCs w:val="22"/>
        </w:rPr>
        <w:t xml:space="preserve">imitation </w:t>
      </w:r>
      <w:r>
        <w:rPr>
          <w:sz w:val="22"/>
          <w:szCs w:val="22"/>
        </w:rPr>
        <w:t>is</w:t>
      </w:r>
      <w:r w:rsidRPr="00EC47D1">
        <w:rPr>
          <w:sz w:val="22"/>
          <w:szCs w:val="22"/>
        </w:rPr>
        <w:t xml:space="preserve"> applied against “eligible gain,” which is defined</w:t>
      </w:r>
      <w:r w:rsidR="00F4296A">
        <w:rPr>
          <w:sz w:val="22"/>
          <w:szCs w:val="22"/>
        </w:rPr>
        <w:t>, as amended,</w:t>
      </w:r>
      <w:r w:rsidRPr="00EC47D1">
        <w:rPr>
          <w:sz w:val="22"/>
          <w:szCs w:val="22"/>
        </w:rPr>
        <w:t xml:space="preserve"> as “any gain from the sale or exchange of qualified small business stock held for </w:t>
      </w:r>
      <w:r w:rsidR="005944D9">
        <w:rPr>
          <w:sz w:val="22"/>
          <w:szCs w:val="22"/>
        </w:rPr>
        <w:t>at least 3 years (more than 5 years in the case of stock acquired on or before the applicable</w:t>
      </w:r>
      <w:r w:rsidR="00007958">
        <w:rPr>
          <w:sz w:val="22"/>
          <w:szCs w:val="22"/>
        </w:rPr>
        <w:t xml:space="preserve"> date</w:t>
      </w:r>
      <w:r w:rsidR="00B63083">
        <w:rPr>
          <w:sz w:val="22"/>
          <w:szCs w:val="22"/>
        </w:rPr>
        <w:t>)</w:t>
      </w:r>
      <w:r w:rsidRPr="00EC47D1">
        <w:rPr>
          <w:sz w:val="22"/>
          <w:szCs w:val="22"/>
        </w:rPr>
        <w:t>.”</w:t>
      </w:r>
      <w:r>
        <w:rPr>
          <w:rStyle w:val="FootnoteReference"/>
          <w:sz w:val="22"/>
          <w:szCs w:val="22"/>
        </w:rPr>
        <w:footnoteReference w:id="30"/>
      </w:r>
      <w:r w:rsidRPr="00EC47D1">
        <w:rPr>
          <w:sz w:val="22"/>
          <w:szCs w:val="22"/>
        </w:rPr>
        <w:t xml:space="preserve">  As such, “eligible gain” has two definitional requirements: (i) gain must be from the sale of QSBS (as </w:t>
      </w:r>
      <w:r>
        <w:rPr>
          <w:sz w:val="22"/>
          <w:szCs w:val="22"/>
        </w:rPr>
        <w:t>defined and discussed</w:t>
      </w:r>
      <w:r w:rsidRPr="00EC47D1">
        <w:rPr>
          <w:sz w:val="22"/>
          <w:szCs w:val="22"/>
        </w:rPr>
        <w:t xml:space="preserve"> below), and (ii) </w:t>
      </w:r>
      <w:r>
        <w:rPr>
          <w:sz w:val="22"/>
          <w:szCs w:val="22"/>
        </w:rPr>
        <w:t>the taxpayer must have held the stock for more than 5 years</w:t>
      </w:r>
      <w:r w:rsidR="005944D9">
        <w:rPr>
          <w:sz w:val="22"/>
          <w:szCs w:val="22"/>
        </w:rPr>
        <w:t>, if acquired on or before July</w:t>
      </w:r>
      <w:r>
        <w:rPr>
          <w:sz w:val="22"/>
          <w:szCs w:val="22"/>
        </w:rPr>
        <w:t> </w:t>
      </w:r>
      <w:r w:rsidR="005944D9">
        <w:rPr>
          <w:sz w:val="22"/>
          <w:szCs w:val="22"/>
        </w:rPr>
        <w:t xml:space="preserve">4, 2025, or more than 3 years, if acquired </w:t>
      </w:r>
      <w:r w:rsidR="00517E21">
        <w:rPr>
          <w:sz w:val="22"/>
          <w:szCs w:val="22"/>
        </w:rPr>
        <w:t>after July 4, 2025.</w:t>
      </w:r>
      <w:bookmarkEnd w:id="8"/>
    </w:p>
    <w:p w:rsidR="000E3DFC" w:rsidP="00FE79AA" w14:paraId="6003FF93" w14:textId="77777777">
      <w:pPr>
        <w:ind w:right="22" w:firstLine="567"/>
        <w:rPr>
          <w:sz w:val="22"/>
          <w:szCs w:val="22"/>
        </w:rPr>
      </w:pPr>
    </w:p>
    <w:p w:rsidR="000E3DFC" w:rsidP="00FE79AA" w14:paraId="41E51E98" w14:textId="3E0FC318">
      <w:pPr>
        <w:ind w:right="22" w:firstLine="567"/>
        <w:rPr>
          <w:sz w:val="22"/>
          <w:szCs w:val="22"/>
        </w:rPr>
      </w:pPr>
      <w:r>
        <w:rPr>
          <w:sz w:val="22"/>
          <w:szCs w:val="22"/>
        </w:rPr>
        <w:t>As amended, section 1202(b)(1) of the Code provides, “If the taxpayer has eligible gain for the taxable year from 1 or more dispositions of stock issued by any corporation, the aggregate amount of such gain from dispositions of stock issued by such corporation which may be taken into account … for the taxable year shall not exceed the greater of—</w:t>
      </w:r>
      <w:r w:rsidRPr="005F5862">
        <w:rPr>
          <w:sz w:val="22"/>
          <w:szCs w:val="22"/>
        </w:rPr>
        <w:t>”</w:t>
      </w:r>
      <w:r>
        <w:rPr>
          <w:rStyle w:val="FootnoteReference"/>
          <w:sz w:val="22"/>
          <w:szCs w:val="22"/>
        </w:rPr>
        <w:footnoteReference w:id="31"/>
      </w:r>
    </w:p>
    <w:p w:rsidR="000E3DFC" w:rsidP="000E3DFC" w14:paraId="04FC5411" w14:textId="77777777">
      <w:pPr>
        <w:ind w:right="22"/>
        <w:rPr>
          <w:sz w:val="22"/>
          <w:szCs w:val="22"/>
        </w:rPr>
      </w:pPr>
    </w:p>
    <w:p w:rsidR="000E3DFC" w14:paraId="1359AD46" w14:textId="3492C747">
      <w:pPr>
        <w:pStyle w:val="ListParagraph"/>
        <w:numPr>
          <w:ilvl w:val="0"/>
          <w:numId w:val="5"/>
        </w:numPr>
        <w:ind w:right="22"/>
        <w:rPr>
          <w:sz w:val="22"/>
          <w:szCs w:val="22"/>
        </w:rPr>
      </w:pPr>
      <w:r>
        <w:rPr>
          <w:sz w:val="22"/>
          <w:szCs w:val="22"/>
        </w:rPr>
        <w:t>The “applicable dollar limit”</w:t>
      </w:r>
      <w:r w:rsidR="00DC1DA8">
        <w:rPr>
          <w:sz w:val="22"/>
          <w:szCs w:val="22"/>
        </w:rPr>
        <w:t xml:space="preserve"> </w:t>
      </w:r>
      <w:bookmarkStart w:id="9" w:name="_Hlk209365972"/>
      <w:r w:rsidR="00DC1DA8">
        <w:rPr>
          <w:sz w:val="22"/>
          <w:szCs w:val="22"/>
        </w:rPr>
        <w:t>(</w:t>
      </w:r>
      <w:r w:rsidR="00274E69">
        <w:rPr>
          <w:sz w:val="22"/>
          <w:szCs w:val="22"/>
        </w:rPr>
        <w:t xml:space="preserve">hereinafter, </w:t>
      </w:r>
      <w:r w:rsidR="00DC1DA8">
        <w:rPr>
          <w:sz w:val="22"/>
          <w:szCs w:val="22"/>
        </w:rPr>
        <w:t>“Applicable Dollar Limit”)</w:t>
      </w:r>
      <w:bookmarkEnd w:id="9"/>
      <w:r>
        <w:rPr>
          <w:sz w:val="22"/>
          <w:szCs w:val="22"/>
        </w:rPr>
        <w:t xml:space="preserve"> for the taxable year (the “Per-Taxpayer Limitation”);</w:t>
      </w:r>
      <w:r>
        <w:rPr>
          <w:rStyle w:val="FootnoteReference"/>
          <w:sz w:val="22"/>
          <w:szCs w:val="22"/>
        </w:rPr>
        <w:footnoteReference w:id="32"/>
      </w:r>
      <w:r>
        <w:rPr>
          <w:sz w:val="22"/>
          <w:szCs w:val="22"/>
        </w:rPr>
        <w:t xml:space="preserve"> or</w:t>
      </w:r>
    </w:p>
    <w:p w:rsidR="000E3DFC" w:rsidP="000E3DFC" w14:paraId="0B794310" w14:textId="77777777">
      <w:pPr>
        <w:pStyle w:val="ListParagraph"/>
        <w:ind w:left="1440" w:right="22"/>
        <w:rPr>
          <w:sz w:val="22"/>
          <w:szCs w:val="22"/>
        </w:rPr>
      </w:pPr>
    </w:p>
    <w:p w:rsidR="000E3DFC" w:rsidRPr="000E3DFC" w14:paraId="6F20F873" w14:textId="4A2BB868">
      <w:pPr>
        <w:pStyle w:val="ListParagraph"/>
        <w:numPr>
          <w:ilvl w:val="0"/>
          <w:numId w:val="5"/>
        </w:numPr>
        <w:ind w:right="22"/>
        <w:rPr>
          <w:sz w:val="22"/>
          <w:szCs w:val="22"/>
        </w:rPr>
      </w:pPr>
      <w:r>
        <w:rPr>
          <w:sz w:val="22"/>
          <w:szCs w:val="22"/>
        </w:rPr>
        <w:t>“10 times the aggregate adjusted bases of qualified small business stock issued by such corporation and disposed of by the taxpayer during the taxable year</w:t>
      </w:r>
      <w:r w:rsidR="00011314">
        <w:rPr>
          <w:sz w:val="22"/>
          <w:szCs w:val="22"/>
        </w:rPr>
        <w:t>.</w:t>
      </w:r>
      <w:r>
        <w:rPr>
          <w:sz w:val="22"/>
          <w:szCs w:val="22"/>
        </w:rPr>
        <w:t>”</w:t>
      </w:r>
      <w:r>
        <w:rPr>
          <w:rStyle w:val="FootnoteReference"/>
          <w:sz w:val="22"/>
          <w:szCs w:val="22"/>
        </w:rPr>
        <w:footnoteReference w:id="33"/>
      </w:r>
    </w:p>
    <w:p w:rsidR="000E3DFC" w:rsidP="00FE79AA" w14:paraId="04397B6C" w14:textId="77777777">
      <w:pPr>
        <w:ind w:right="22" w:firstLine="567"/>
        <w:rPr>
          <w:sz w:val="22"/>
          <w:szCs w:val="22"/>
        </w:rPr>
      </w:pPr>
    </w:p>
    <w:p w:rsidR="000E3DFC" w:rsidP="00FE79AA" w14:paraId="440BC5D3" w14:textId="4F8F8019">
      <w:pPr>
        <w:ind w:right="22" w:firstLine="567"/>
        <w:rPr>
          <w:sz w:val="22"/>
          <w:szCs w:val="22"/>
        </w:rPr>
      </w:pPr>
      <w:r>
        <w:rPr>
          <w:sz w:val="22"/>
          <w:szCs w:val="22"/>
        </w:rPr>
        <w:t xml:space="preserve">The </w:t>
      </w:r>
      <w:r>
        <w:rPr>
          <w:sz w:val="22"/>
          <w:szCs w:val="22"/>
        </w:rPr>
        <w:t>Applicable Dollar Limit</w:t>
      </w:r>
      <w:r>
        <w:rPr>
          <w:sz w:val="22"/>
          <w:szCs w:val="22"/>
        </w:rPr>
        <w:t xml:space="preserve"> </w:t>
      </w:r>
      <w:r>
        <w:rPr>
          <w:sz w:val="22"/>
          <w:szCs w:val="22"/>
        </w:rPr>
        <w:t>with respect to eligible gain from a disposition of QSB stock in a corporation is:</w:t>
      </w:r>
    </w:p>
    <w:p w:rsidR="000E3DFC" w:rsidP="000E3DFC" w14:paraId="1C3C6C6F" w14:textId="77777777">
      <w:pPr>
        <w:ind w:right="22"/>
        <w:rPr>
          <w:sz w:val="22"/>
          <w:szCs w:val="22"/>
        </w:rPr>
      </w:pPr>
    </w:p>
    <w:p w:rsidR="000E3DFC" w14:paraId="10DAD44E" w14:textId="7A466B7F">
      <w:pPr>
        <w:pStyle w:val="ListParagraph"/>
        <w:numPr>
          <w:ilvl w:val="0"/>
          <w:numId w:val="6"/>
        </w:numPr>
        <w:ind w:right="22"/>
        <w:rPr>
          <w:sz w:val="22"/>
          <w:szCs w:val="22"/>
        </w:rPr>
      </w:pPr>
      <w:r>
        <w:rPr>
          <w:sz w:val="22"/>
          <w:szCs w:val="22"/>
        </w:rPr>
        <w:t>If the QSB stock was acquired on or before the applicable date (July 4, 2025), “$10,000,000 reduced by the aggregate amount of eligible gain taken into account by the taxpayer … for prior taxable years and attributable to dispositions of stock issued by such corporation.”</w:t>
      </w:r>
      <w:r>
        <w:rPr>
          <w:rStyle w:val="FootnoteReference"/>
          <w:sz w:val="22"/>
          <w:szCs w:val="22"/>
        </w:rPr>
        <w:footnoteReference w:id="34"/>
      </w:r>
    </w:p>
    <w:p w:rsidR="000E3DFC" w:rsidP="000E3DFC" w14:paraId="497058C8" w14:textId="77777777">
      <w:pPr>
        <w:pStyle w:val="ListParagraph"/>
        <w:ind w:left="1287" w:right="22"/>
        <w:rPr>
          <w:sz w:val="22"/>
          <w:szCs w:val="22"/>
        </w:rPr>
      </w:pPr>
    </w:p>
    <w:p w:rsidR="000E3DFC" w14:paraId="2A9DDDB5" w14:textId="1E57FC9C">
      <w:pPr>
        <w:pStyle w:val="ListParagraph"/>
        <w:numPr>
          <w:ilvl w:val="0"/>
          <w:numId w:val="6"/>
        </w:numPr>
        <w:ind w:right="22"/>
        <w:rPr>
          <w:sz w:val="22"/>
          <w:szCs w:val="22"/>
        </w:rPr>
      </w:pPr>
      <w:r>
        <w:rPr>
          <w:sz w:val="22"/>
          <w:szCs w:val="22"/>
        </w:rPr>
        <w:t>If the QSB stock was acquired after the applicable date (July 4, 2025), $15,000,000, reduced by the sum of</w:t>
      </w:r>
      <w:r w:rsidRPr="00550E8E">
        <w:rPr>
          <w:sz w:val="22"/>
          <w:szCs w:val="22"/>
        </w:rPr>
        <w:t>:</w:t>
      </w:r>
      <w:r>
        <w:rPr>
          <w:rStyle w:val="FootnoteReference"/>
          <w:sz w:val="22"/>
          <w:szCs w:val="22"/>
        </w:rPr>
        <w:footnoteReference w:id="35"/>
      </w:r>
    </w:p>
    <w:p w:rsidR="000E3DFC" w:rsidRPr="000E3DFC" w:rsidP="000E3DFC" w14:paraId="60B9A8CE" w14:textId="77777777">
      <w:pPr>
        <w:pStyle w:val="ListParagraph"/>
        <w:rPr>
          <w:sz w:val="22"/>
          <w:szCs w:val="22"/>
        </w:rPr>
      </w:pPr>
    </w:p>
    <w:p w:rsidR="000E3DFC" w14:paraId="4A9567BD" w14:textId="0338809B">
      <w:pPr>
        <w:pStyle w:val="ListParagraph"/>
        <w:numPr>
          <w:ilvl w:val="1"/>
          <w:numId w:val="6"/>
        </w:numPr>
        <w:ind w:right="22"/>
        <w:rPr>
          <w:sz w:val="22"/>
          <w:szCs w:val="22"/>
        </w:rPr>
      </w:pPr>
      <w:r>
        <w:rPr>
          <w:sz w:val="22"/>
          <w:szCs w:val="22"/>
        </w:rPr>
        <w:t>“</w:t>
      </w:r>
      <w:r w:rsidRPr="00550E8E">
        <w:rPr>
          <w:sz w:val="22"/>
          <w:szCs w:val="22"/>
        </w:rPr>
        <w:t xml:space="preserve">the aggregate amount of eligible gain taken into account by the taxpayer </w:t>
      </w:r>
      <w:r>
        <w:rPr>
          <w:sz w:val="22"/>
          <w:szCs w:val="22"/>
        </w:rPr>
        <w:t xml:space="preserve">… </w:t>
      </w:r>
      <w:r w:rsidRPr="00550E8E">
        <w:rPr>
          <w:sz w:val="22"/>
          <w:szCs w:val="22"/>
        </w:rPr>
        <w:t>for prior taxable years and attributable to dispositions of stock issued by such corporation</w:t>
      </w:r>
      <w:r>
        <w:rPr>
          <w:sz w:val="22"/>
          <w:szCs w:val="22"/>
        </w:rPr>
        <w:t xml:space="preserve"> a</w:t>
      </w:r>
      <w:r w:rsidRPr="00550E8E">
        <w:rPr>
          <w:sz w:val="22"/>
          <w:szCs w:val="22"/>
        </w:rPr>
        <w:t>nd acquired by the taxpayer before, on, or after the applicable date, plus</w:t>
      </w:r>
      <w:r>
        <w:rPr>
          <w:sz w:val="22"/>
          <w:szCs w:val="22"/>
        </w:rPr>
        <w:t>;”</w:t>
      </w:r>
      <w:r>
        <w:rPr>
          <w:rStyle w:val="FootnoteReference"/>
          <w:sz w:val="22"/>
          <w:szCs w:val="22"/>
        </w:rPr>
        <w:footnoteReference w:id="36"/>
      </w:r>
    </w:p>
    <w:p w:rsidR="000E3DFC" w:rsidP="000E3DFC" w14:paraId="7245E6AA" w14:textId="77777777">
      <w:pPr>
        <w:pStyle w:val="ListParagraph"/>
        <w:ind w:left="2007" w:right="22"/>
        <w:rPr>
          <w:sz w:val="22"/>
          <w:szCs w:val="22"/>
        </w:rPr>
      </w:pPr>
    </w:p>
    <w:p w:rsidR="000E3DFC" w14:paraId="37788E1B" w14:textId="72CA0AA0">
      <w:pPr>
        <w:pStyle w:val="ListParagraph"/>
        <w:numPr>
          <w:ilvl w:val="1"/>
          <w:numId w:val="6"/>
        </w:numPr>
        <w:ind w:right="22"/>
        <w:rPr>
          <w:sz w:val="22"/>
          <w:szCs w:val="22"/>
        </w:rPr>
      </w:pPr>
      <w:r>
        <w:rPr>
          <w:sz w:val="22"/>
          <w:szCs w:val="22"/>
        </w:rPr>
        <w:t>“</w:t>
      </w:r>
      <w:r w:rsidRPr="00C6500A">
        <w:rPr>
          <w:sz w:val="22"/>
          <w:szCs w:val="22"/>
        </w:rPr>
        <w:t xml:space="preserve">the aggregate amount of eligible gain taken into account by the taxpayer </w:t>
      </w:r>
      <w:r>
        <w:rPr>
          <w:sz w:val="22"/>
          <w:szCs w:val="22"/>
        </w:rPr>
        <w:t xml:space="preserve">… </w:t>
      </w:r>
      <w:r w:rsidRPr="00C6500A">
        <w:rPr>
          <w:sz w:val="22"/>
          <w:szCs w:val="22"/>
        </w:rPr>
        <w:t xml:space="preserve"> for the taxable year and attributable to dispositions of stock issued by such corporation and</w:t>
      </w:r>
      <w:r>
        <w:rPr>
          <w:sz w:val="22"/>
          <w:szCs w:val="22"/>
        </w:rPr>
        <w:t xml:space="preserve"> </w:t>
      </w:r>
      <w:r w:rsidRPr="00C6500A">
        <w:rPr>
          <w:sz w:val="22"/>
          <w:szCs w:val="22"/>
        </w:rPr>
        <w:t>acquired by the taxpayer on or before the applicable date.</w:t>
      </w:r>
      <w:r>
        <w:rPr>
          <w:sz w:val="22"/>
          <w:szCs w:val="22"/>
        </w:rPr>
        <w:t>”</w:t>
      </w:r>
      <w:r>
        <w:rPr>
          <w:rStyle w:val="FootnoteReference"/>
          <w:sz w:val="22"/>
          <w:szCs w:val="22"/>
        </w:rPr>
        <w:footnoteReference w:id="37"/>
      </w:r>
    </w:p>
    <w:p w:rsidR="000E3DFC" w:rsidRPr="000E3DFC" w:rsidP="000E3DFC" w14:paraId="29F78A26" w14:textId="77777777">
      <w:pPr>
        <w:ind w:right="22"/>
        <w:rPr>
          <w:sz w:val="22"/>
          <w:szCs w:val="22"/>
        </w:rPr>
      </w:pPr>
    </w:p>
    <w:p w:rsidR="000E3DFC" w:rsidP="00FE79AA" w14:paraId="5D187882" w14:textId="5EC89B7D">
      <w:pPr>
        <w:ind w:right="22" w:firstLine="567"/>
        <w:rPr>
          <w:sz w:val="22"/>
          <w:szCs w:val="22"/>
        </w:rPr>
      </w:pPr>
      <w:r w:rsidRPr="00196C00">
        <w:rPr>
          <w:sz w:val="22"/>
          <w:szCs w:val="22"/>
        </w:rPr>
        <w:t xml:space="preserve">The foregoing definition of Applicable Dollar Limit takes into account that QSB corporations that existed prior to the enactment of OBBBA could </w:t>
      </w:r>
      <w:r>
        <w:rPr>
          <w:sz w:val="22"/>
          <w:szCs w:val="22"/>
        </w:rPr>
        <w:t>issue</w:t>
      </w:r>
      <w:r w:rsidRPr="00196C00">
        <w:rPr>
          <w:sz w:val="22"/>
          <w:szCs w:val="22"/>
        </w:rPr>
        <w:t xml:space="preserve"> QSB stock after July 4, 2025, and it seeks to ensure</w:t>
      </w:r>
      <w:r>
        <w:rPr>
          <w:sz w:val="22"/>
          <w:szCs w:val="22"/>
        </w:rPr>
        <w:t xml:space="preserve"> </w:t>
      </w:r>
      <w:r w:rsidRPr="00196C00">
        <w:rPr>
          <w:sz w:val="22"/>
          <w:szCs w:val="22"/>
        </w:rPr>
        <w:t>that</w:t>
      </w:r>
      <w:r>
        <w:rPr>
          <w:sz w:val="22"/>
          <w:szCs w:val="22"/>
        </w:rPr>
        <w:t xml:space="preserve"> taxpayers who acquired QSB stock</w:t>
      </w:r>
      <w:r w:rsidRPr="00196C00">
        <w:rPr>
          <w:sz w:val="22"/>
          <w:szCs w:val="22"/>
        </w:rPr>
        <w:t xml:space="preserve"> under the old rules</w:t>
      </w:r>
      <w:r>
        <w:rPr>
          <w:sz w:val="22"/>
          <w:szCs w:val="22"/>
        </w:rPr>
        <w:t>,</w:t>
      </w:r>
      <w:r w:rsidRPr="00196C00">
        <w:rPr>
          <w:sz w:val="22"/>
          <w:szCs w:val="22"/>
        </w:rPr>
        <w:t xml:space="preserve"> </w:t>
      </w:r>
      <w:r>
        <w:rPr>
          <w:sz w:val="22"/>
          <w:szCs w:val="22"/>
        </w:rPr>
        <w:t>which are then sold, would be</w:t>
      </w:r>
      <w:r w:rsidRPr="00196C00">
        <w:rPr>
          <w:sz w:val="22"/>
          <w:szCs w:val="22"/>
        </w:rPr>
        <w:t xml:space="preserve"> limited to $10 million of Per-Taxpayer Limitation.  It also ensures that if QSB shares acquired after July 4, 2025 are subsequently sold, </w:t>
      </w:r>
      <w:r>
        <w:rPr>
          <w:sz w:val="22"/>
          <w:szCs w:val="22"/>
        </w:rPr>
        <w:t xml:space="preserve">then sales of shares (in previous years and the current year) acquired under the old rules would be taken into account for purposes of the taxpayer’s Per-Taxpayer Limitation of $15 million.  This makes clear that taxpayers cannot “double dip” hoping to get $10 million </w:t>
      </w:r>
      <w:r w:rsidR="00011314">
        <w:rPr>
          <w:sz w:val="22"/>
          <w:szCs w:val="22"/>
        </w:rPr>
        <w:t xml:space="preserve">of </w:t>
      </w:r>
      <w:r>
        <w:rPr>
          <w:sz w:val="22"/>
          <w:szCs w:val="22"/>
        </w:rPr>
        <w:t>exclusion for the old shares and $15 million</w:t>
      </w:r>
      <w:r w:rsidR="00011314">
        <w:rPr>
          <w:sz w:val="22"/>
          <w:szCs w:val="22"/>
        </w:rPr>
        <w:t xml:space="preserve"> of</w:t>
      </w:r>
      <w:r>
        <w:rPr>
          <w:sz w:val="22"/>
          <w:szCs w:val="22"/>
        </w:rPr>
        <w:t xml:space="preserve"> exclusion for the new shares.   For example, a taxpayer acquires QSB stock of corporation Y in 2019. </w:t>
      </w:r>
      <w:r w:rsidR="00011314">
        <w:rPr>
          <w:sz w:val="22"/>
          <w:szCs w:val="22"/>
        </w:rPr>
        <w:t>A</w:t>
      </w:r>
      <w:r>
        <w:rPr>
          <w:sz w:val="22"/>
          <w:szCs w:val="22"/>
        </w:rPr>
        <w:t>fter holding the stock for 5 years, the taxpayer sells a portion of the stock in 2024</w:t>
      </w:r>
      <w:r w:rsidR="00011314">
        <w:rPr>
          <w:sz w:val="22"/>
          <w:szCs w:val="22"/>
        </w:rPr>
        <w:t>,</w:t>
      </w:r>
      <w:r>
        <w:rPr>
          <w:sz w:val="22"/>
          <w:szCs w:val="22"/>
        </w:rPr>
        <w:t xml:space="preserve"> realizing $3 million </w:t>
      </w:r>
      <w:r w:rsidR="00011314">
        <w:rPr>
          <w:sz w:val="22"/>
          <w:szCs w:val="22"/>
        </w:rPr>
        <w:t xml:space="preserve">of </w:t>
      </w:r>
      <w:r>
        <w:rPr>
          <w:sz w:val="22"/>
          <w:szCs w:val="22"/>
        </w:rPr>
        <w:t>eligible gain.  On July 5, 2025, the taxpayer acquires more QSB stock of corporation Y.  In 2029, when the taxpayer sells all of its shares of corporation</w:t>
      </w:r>
      <w:r w:rsidR="00011314">
        <w:rPr>
          <w:sz w:val="22"/>
          <w:szCs w:val="22"/>
        </w:rPr>
        <w:t xml:space="preserve"> Y,</w:t>
      </w:r>
      <w:r>
        <w:rPr>
          <w:sz w:val="22"/>
          <w:szCs w:val="22"/>
        </w:rPr>
        <w:t xml:space="preserve"> the Applicable Dollar Limit for </w:t>
      </w:r>
      <w:r w:rsidR="00011314">
        <w:rPr>
          <w:sz w:val="22"/>
          <w:szCs w:val="22"/>
        </w:rPr>
        <w:t>the</w:t>
      </w:r>
      <w:r>
        <w:rPr>
          <w:sz w:val="22"/>
          <w:szCs w:val="22"/>
        </w:rPr>
        <w:t xml:space="preserve"> taxable year will be, ignoring the cost-of-living increase discussed below, $12 million ($15 million minus the $3 million of eligible gain from </w:t>
      </w:r>
      <w:r w:rsidR="00011314">
        <w:rPr>
          <w:sz w:val="22"/>
          <w:szCs w:val="22"/>
        </w:rPr>
        <w:t>2024</w:t>
      </w:r>
      <w:r>
        <w:rPr>
          <w:sz w:val="22"/>
          <w:szCs w:val="22"/>
        </w:rPr>
        <w:t>).</w:t>
      </w:r>
    </w:p>
    <w:p w:rsidR="000E3DFC" w:rsidP="00FE79AA" w14:paraId="0831C1EA" w14:textId="51CCA3F1">
      <w:pPr>
        <w:ind w:right="22" w:firstLine="567"/>
        <w:rPr>
          <w:sz w:val="22"/>
          <w:szCs w:val="22"/>
        </w:rPr>
      </w:pPr>
    </w:p>
    <w:p w:rsidR="00663001" w:rsidP="004B4262" w14:paraId="262AF1B6" w14:textId="3EDC2B27">
      <w:pPr>
        <w:ind w:right="22"/>
        <w:rPr>
          <w:sz w:val="22"/>
          <w:szCs w:val="22"/>
        </w:rPr>
      </w:pPr>
      <w:r>
        <w:rPr>
          <w:sz w:val="22"/>
          <w:szCs w:val="22"/>
        </w:rPr>
        <w:tab/>
      </w:r>
      <w:r w:rsidRPr="00750993">
        <w:rPr>
          <w:sz w:val="22"/>
          <w:szCs w:val="22"/>
        </w:rPr>
        <w:t>The Per-Taxpayer Limitation for QSB stock issued after July 4, 2025 will be inflation-adjusted starting in</w:t>
      </w:r>
      <w:r w:rsidR="00BD7B5D">
        <w:rPr>
          <w:sz w:val="22"/>
          <w:szCs w:val="22"/>
        </w:rPr>
        <w:t xml:space="preserve"> either</w:t>
      </w:r>
      <w:r w:rsidRPr="00750993">
        <w:rPr>
          <w:sz w:val="22"/>
          <w:szCs w:val="22"/>
        </w:rPr>
        <w:t xml:space="preserve"> </w:t>
      </w:r>
      <w:r w:rsidR="00BD7B5D">
        <w:rPr>
          <w:sz w:val="22"/>
          <w:szCs w:val="22"/>
        </w:rPr>
        <w:t>2026 or 2027</w:t>
      </w:r>
      <w:r w:rsidRPr="00750993">
        <w:rPr>
          <w:sz w:val="22"/>
          <w:szCs w:val="22"/>
        </w:rPr>
        <w:t>.</w:t>
      </w:r>
      <w:r w:rsidR="00F54A28">
        <w:rPr>
          <w:sz w:val="22"/>
          <w:szCs w:val="22"/>
        </w:rPr>
        <w:t xml:space="preserve">  </w:t>
      </w:r>
      <w:bookmarkStart w:id="10" w:name="_Hlk208675943"/>
      <w:r w:rsidR="00F54A28">
        <w:rPr>
          <w:sz w:val="22"/>
          <w:szCs w:val="22"/>
        </w:rPr>
        <w:t xml:space="preserve">The text of OBBBA provides the inflation adjustment </w:t>
      </w:r>
      <w:r w:rsidR="00F54A28">
        <w:rPr>
          <w:sz w:val="22"/>
          <w:szCs w:val="22"/>
        </w:rPr>
        <w:t xml:space="preserve">applies </w:t>
      </w:r>
      <w:r w:rsidR="00A91786">
        <w:rPr>
          <w:sz w:val="22"/>
          <w:szCs w:val="22"/>
        </w:rPr>
        <w:t>“In t</w:t>
      </w:r>
      <w:r w:rsidR="00F54A28">
        <w:rPr>
          <w:sz w:val="22"/>
          <w:szCs w:val="22"/>
        </w:rPr>
        <w:t xml:space="preserve">he case of any taxable year beginning </w:t>
      </w:r>
      <w:r w:rsidRPr="00304068" w:rsidR="00F54A28">
        <w:rPr>
          <w:sz w:val="22"/>
          <w:szCs w:val="22"/>
          <w:u w:val="single"/>
        </w:rPr>
        <w:t>after</w:t>
      </w:r>
      <w:r w:rsidRPr="00946C8A" w:rsidR="00F54A28">
        <w:rPr>
          <w:sz w:val="22"/>
          <w:szCs w:val="22"/>
          <w:u w:val="single"/>
        </w:rPr>
        <w:t xml:space="preserve"> </w:t>
      </w:r>
      <w:r w:rsidRPr="00304068" w:rsidR="00F54A28">
        <w:rPr>
          <w:sz w:val="22"/>
          <w:szCs w:val="22"/>
          <w:u w:val="single"/>
        </w:rPr>
        <w:t>2026</w:t>
      </w:r>
      <w:r w:rsidR="00F54A28">
        <w:rPr>
          <w:sz w:val="22"/>
          <w:szCs w:val="22"/>
        </w:rPr>
        <w:t>,”</w:t>
      </w:r>
      <w:r>
        <w:rPr>
          <w:rStyle w:val="FootnoteReference"/>
          <w:sz w:val="22"/>
          <w:szCs w:val="22"/>
        </w:rPr>
        <w:footnoteReference w:id="38"/>
      </w:r>
      <w:bookmarkEnd w:id="10"/>
      <w:r>
        <w:rPr>
          <w:sz w:val="22"/>
          <w:szCs w:val="22"/>
        </w:rPr>
        <w:t xml:space="preserve"> but </w:t>
      </w:r>
      <w:r w:rsidR="00BD7B5D">
        <w:rPr>
          <w:sz w:val="22"/>
          <w:szCs w:val="22"/>
        </w:rPr>
        <w:t xml:space="preserve">section 1202(b)(5)(A)(ii), as amended in OBBBA, </w:t>
      </w:r>
      <w:r w:rsidR="00A82CAB">
        <w:rPr>
          <w:sz w:val="22"/>
          <w:szCs w:val="22"/>
        </w:rPr>
        <w:t>changes</w:t>
      </w:r>
      <w:r w:rsidR="00BD7B5D">
        <w:rPr>
          <w:sz w:val="22"/>
          <w:szCs w:val="22"/>
        </w:rPr>
        <w:t xml:space="preserve"> the reference in section 1(f)(3) from “calendar year 2016” to “calendar year </w:t>
      </w:r>
      <w:r w:rsidRPr="00BD7B5D" w:rsidR="00BD7B5D">
        <w:rPr>
          <w:sz w:val="22"/>
          <w:szCs w:val="22"/>
          <w:u w:val="single"/>
        </w:rPr>
        <w:t>2025</w:t>
      </w:r>
      <w:r w:rsidR="00BD7B5D">
        <w:rPr>
          <w:sz w:val="22"/>
          <w:szCs w:val="22"/>
        </w:rPr>
        <w:t>.”</w:t>
      </w:r>
      <w:r>
        <w:rPr>
          <w:rStyle w:val="FootnoteReference"/>
          <w:sz w:val="22"/>
          <w:szCs w:val="22"/>
        </w:rPr>
        <w:footnoteReference w:id="39"/>
      </w:r>
      <w:r w:rsidR="00BD7B5D">
        <w:rPr>
          <w:sz w:val="22"/>
          <w:szCs w:val="22"/>
        </w:rPr>
        <w:t xml:space="preserve">  In other words, as written, there will be no inflation adjustment in 2026, but starting in 2027, the inflation adjustment to the Per-Taxpayer Limitation will be increased from $15 million to a number that includes the </w:t>
      </w:r>
      <w:r w:rsidR="00A91786">
        <w:rPr>
          <w:sz w:val="22"/>
          <w:szCs w:val="22"/>
        </w:rPr>
        <w:t xml:space="preserve">aggregate amount of </w:t>
      </w:r>
      <w:r w:rsidR="00BD7B5D">
        <w:rPr>
          <w:sz w:val="22"/>
          <w:szCs w:val="22"/>
        </w:rPr>
        <w:t>inflation adjustment</w:t>
      </w:r>
      <w:r w:rsidR="00A91786">
        <w:rPr>
          <w:sz w:val="22"/>
          <w:szCs w:val="22"/>
        </w:rPr>
        <w:t>s</w:t>
      </w:r>
      <w:r w:rsidR="00BD7B5D">
        <w:rPr>
          <w:sz w:val="22"/>
          <w:szCs w:val="22"/>
        </w:rPr>
        <w:t xml:space="preserve"> for calendar year</w:t>
      </w:r>
      <w:r w:rsidR="00946C8A">
        <w:rPr>
          <w:sz w:val="22"/>
          <w:szCs w:val="22"/>
        </w:rPr>
        <w:t>s</w:t>
      </w:r>
      <w:r w:rsidR="00BD7B5D">
        <w:rPr>
          <w:sz w:val="22"/>
          <w:szCs w:val="22"/>
        </w:rPr>
        <w:t xml:space="preserve"> 2025 </w:t>
      </w:r>
      <w:r w:rsidRPr="00A91786" w:rsidR="00BD7B5D">
        <w:rPr>
          <w:sz w:val="22"/>
          <w:szCs w:val="22"/>
          <w:u w:val="single"/>
        </w:rPr>
        <w:t>and</w:t>
      </w:r>
      <w:r w:rsidR="00BD7B5D">
        <w:rPr>
          <w:sz w:val="22"/>
          <w:szCs w:val="22"/>
        </w:rPr>
        <w:t xml:space="preserve"> 2026</w:t>
      </w:r>
      <w:r w:rsidR="00A91786">
        <w:rPr>
          <w:sz w:val="22"/>
          <w:szCs w:val="22"/>
        </w:rPr>
        <w:t xml:space="preserve"> (a 2-year inflation  adjustment)</w:t>
      </w:r>
      <w:r w:rsidR="00BD7B5D">
        <w:rPr>
          <w:sz w:val="22"/>
          <w:szCs w:val="22"/>
        </w:rPr>
        <w:t xml:space="preserve">.  The Senate Finance Committee, in its section-by-section explanation, </w:t>
      </w:r>
      <w:r w:rsidR="00946C8A">
        <w:rPr>
          <w:sz w:val="22"/>
          <w:szCs w:val="22"/>
        </w:rPr>
        <w:t>states</w:t>
      </w:r>
      <w:r w:rsidR="00BD7B5D">
        <w:rPr>
          <w:sz w:val="22"/>
          <w:szCs w:val="22"/>
        </w:rPr>
        <w:t>, “</w:t>
      </w:r>
      <w:r w:rsidRPr="00BD7B5D" w:rsidR="00BD7B5D">
        <w:rPr>
          <w:sz w:val="22"/>
          <w:szCs w:val="22"/>
        </w:rPr>
        <w:t>the proposal increases the per-issuer dollar cap to $15 million for post-enactment shares, indexed to inflation beginning in 2027.</w:t>
      </w:r>
      <w:r w:rsidR="00BD7B5D">
        <w:rPr>
          <w:sz w:val="22"/>
          <w:szCs w:val="22"/>
        </w:rPr>
        <w:t>”</w:t>
      </w:r>
      <w:r>
        <w:rPr>
          <w:rStyle w:val="FootnoteReference"/>
          <w:sz w:val="22"/>
          <w:szCs w:val="22"/>
        </w:rPr>
        <w:footnoteReference w:id="40"/>
      </w:r>
      <w:r w:rsidR="00A91786">
        <w:rPr>
          <w:sz w:val="22"/>
          <w:szCs w:val="22"/>
        </w:rPr>
        <w:t xml:space="preserve">  However, there doesn’t seem to be any</w:t>
      </w:r>
      <w:r w:rsidR="00946C8A">
        <w:rPr>
          <w:sz w:val="22"/>
          <w:szCs w:val="22"/>
        </w:rPr>
        <w:t xml:space="preserve"> obvious</w:t>
      </w:r>
      <w:r w:rsidR="00A91786">
        <w:rPr>
          <w:sz w:val="22"/>
          <w:szCs w:val="22"/>
        </w:rPr>
        <w:t xml:space="preserve"> policy reason to calculate the inflation adjustment in that manner.  It is equally plausible to believe either of the following is true: (i) section 1202(b)(5)(A) should read as “In the case of any taxable year beginning </w:t>
      </w:r>
      <w:r w:rsidRPr="00A91786" w:rsidR="00A91786">
        <w:rPr>
          <w:sz w:val="22"/>
          <w:szCs w:val="22"/>
          <w:u w:val="single"/>
        </w:rPr>
        <w:t>after 2025</w:t>
      </w:r>
      <w:r w:rsidR="00A91786">
        <w:rPr>
          <w:sz w:val="22"/>
          <w:szCs w:val="22"/>
        </w:rPr>
        <w:t xml:space="preserve">…;” or (ii) </w:t>
      </w:r>
      <w:r w:rsidRPr="00A91786" w:rsidR="00A91786">
        <w:rPr>
          <w:sz w:val="22"/>
          <w:szCs w:val="22"/>
        </w:rPr>
        <w:t>section 1202(b)(5)(A)(ii)</w:t>
      </w:r>
      <w:r w:rsidR="00A91786">
        <w:rPr>
          <w:sz w:val="22"/>
          <w:szCs w:val="22"/>
        </w:rPr>
        <w:t xml:space="preserve"> should</w:t>
      </w:r>
      <w:r w:rsidRPr="00A91786" w:rsidR="00A91786">
        <w:rPr>
          <w:sz w:val="22"/>
          <w:szCs w:val="22"/>
        </w:rPr>
        <w:t xml:space="preserve"> chang</w:t>
      </w:r>
      <w:r w:rsidR="00A91786">
        <w:rPr>
          <w:sz w:val="22"/>
          <w:szCs w:val="22"/>
        </w:rPr>
        <w:t>e</w:t>
      </w:r>
      <w:r w:rsidRPr="00A91786" w:rsidR="00A91786">
        <w:rPr>
          <w:sz w:val="22"/>
          <w:szCs w:val="22"/>
        </w:rPr>
        <w:t xml:space="preserve"> the reference in section</w:t>
      </w:r>
      <w:r w:rsidR="00A91786">
        <w:rPr>
          <w:sz w:val="22"/>
          <w:szCs w:val="22"/>
        </w:rPr>
        <w:t> </w:t>
      </w:r>
      <w:r w:rsidRPr="00A91786" w:rsidR="00A91786">
        <w:rPr>
          <w:sz w:val="22"/>
          <w:szCs w:val="22"/>
        </w:rPr>
        <w:t xml:space="preserve">1(f)(3) from “calendar year 2016” to “calendar year </w:t>
      </w:r>
      <w:r w:rsidRPr="00A91786" w:rsidR="00A91786">
        <w:rPr>
          <w:sz w:val="22"/>
          <w:szCs w:val="22"/>
          <w:u w:val="single"/>
        </w:rPr>
        <w:t>2026</w:t>
      </w:r>
      <w:r w:rsidRPr="00A91786" w:rsidR="00A91786">
        <w:rPr>
          <w:sz w:val="22"/>
          <w:szCs w:val="22"/>
        </w:rPr>
        <w:t>.”</w:t>
      </w:r>
      <w:r w:rsidR="00A91786">
        <w:rPr>
          <w:sz w:val="22"/>
          <w:szCs w:val="22"/>
        </w:rPr>
        <w:t xml:space="preserve">  The former </w:t>
      </w:r>
      <w:r w:rsidR="00946C8A">
        <w:rPr>
          <w:sz w:val="22"/>
          <w:szCs w:val="22"/>
        </w:rPr>
        <w:t>suggested language</w:t>
      </w:r>
      <w:r w:rsidR="00A91786">
        <w:rPr>
          <w:sz w:val="22"/>
          <w:szCs w:val="22"/>
        </w:rPr>
        <w:t xml:space="preserve"> would provide a 1-year inflation adjustment </w:t>
      </w:r>
      <w:r w:rsidR="004B4262">
        <w:rPr>
          <w:sz w:val="22"/>
          <w:szCs w:val="22"/>
        </w:rPr>
        <w:t xml:space="preserve">calculated from the beginning of </w:t>
      </w:r>
      <w:r w:rsidR="00A91786">
        <w:rPr>
          <w:sz w:val="22"/>
          <w:szCs w:val="22"/>
        </w:rPr>
        <w:t xml:space="preserve">2025 that would be effective at the beginning of 2026.  The latter </w:t>
      </w:r>
      <w:r w:rsidR="00946C8A">
        <w:rPr>
          <w:sz w:val="22"/>
          <w:szCs w:val="22"/>
        </w:rPr>
        <w:t>suggested language</w:t>
      </w:r>
      <w:r w:rsidR="00A91786">
        <w:rPr>
          <w:sz w:val="22"/>
          <w:szCs w:val="22"/>
        </w:rPr>
        <w:t xml:space="preserve"> would provide no inflation adjustment in 2026 but</w:t>
      </w:r>
      <w:r w:rsidR="004B4262">
        <w:rPr>
          <w:sz w:val="22"/>
          <w:szCs w:val="22"/>
        </w:rPr>
        <w:t xml:space="preserve"> would provide a 1-year inflation adjustment calculated from the beginning of 2026 that would be effective at the beginning of </w:t>
      </w:r>
      <w:r w:rsidR="00946C8A">
        <w:rPr>
          <w:sz w:val="22"/>
          <w:szCs w:val="22"/>
        </w:rPr>
        <w:t>2027</w:t>
      </w:r>
      <w:r w:rsidR="004B4262">
        <w:rPr>
          <w:sz w:val="22"/>
          <w:szCs w:val="22"/>
        </w:rPr>
        <w:t>.</w:t>
      </w:r>
    </w:p>
    <w:p w:rsidR="00663001" w:rsidP="000E3DFC" w14:paraId="64DE28E3" w14:textId="77777777">
      <w:pPr>
        <w:ind w:right="22"/>
        <w:rPr>
          <w:sz w:val="22"/>
          <w:szCs w:val="22"/>
        </w:rPr>
      </w:pPr>
    </w:p>
    <w:p w:rsidR="000E3DFC" w:rsidP="00663001" w14:paraId="17DB4401" w14:textId="588797FA">
      <w:pPr>
        <w:ind w:right="22" w:firstLine="720"/>
        <w:rPr>
          <w:sz w:val="22"/>
          <w:szCs w:val="22"/>
        </w:rPr>
      </w:pPr>
      <w:r>
        <w:rPr>
          <w:sz w:val="22"/>
          <w:szCs w:val="22"/>
        </w:rPr>
        <w:t>This</w:t>
      </w:r>
      <w:r w:rsidRPr="00750993">
        <w:rPr>
          <w:sz w:val="22"/>
          <w:szCs w:val="22"/>
        </w:rPr>
        <w:t xml:space="preserve"> </w:t>
      </w:r>
      <w:r>
        <w:rPr>
          <w:sz w:val="22"/>
          <w:szCs w:val="22"/>
        </w:rPr>
        <w:t xml:space="preserve"> </w:t>
      </w:r>
      <w:r w:rsidRPr="00750993">
        <w:rPr>
          <w:sz w:val="22"/>
          <w:szCs w:val="22"/>
        </w:rPr>
        <w:t>inflation</w:t>
      </w:r>
      <w:r>
        <w:rPr>
          <w:sz w:val="22"/>
          <w:szCs w:val="22"/>
        </w:rPr>
        <w:t xml:space="preserve"> </w:t>
      </w:r>
      <w:r w:rsidRPr="00750993">
        <w:rPr>
          <w:sz w:val="22"/>
          <w:szCs w:val="22"/>
        </w:rPr>
        <w:t>adjustment will continue until the Per-Taxpayer Limitation has been exhausted.  The Code provides, “</w:t>
      </w:r>
      <w:bookmarkStart w:id="11" w:name="_Hlk208672295"/>
      <w:r w:rsidRPr="00221EE2">
        <w:rPr>
          <w:b/>
          <w:bCs/>
          <w:sz w:val="22"/>
          <w:szCs w:val="22"/>
        </w:rPr>
        <w:t>No Increase Once Limit</w:t>
      </w:r>
      <w:r>
        <w:rPr>
          <w:b/>
          <w:bCs/>
          <w:sz w:val="22"/>
          <w:szCs w:val="22"/>
        </w:rPr>
        <w:t xml:space="preserve"> Reached</w:t>
      </w:r>
      <w:r>
        <w:rPr>
          <w:sz w:val="22"/>
          <w:szCs w:val="22"/>
        </w:rPr>
        <w:t>—</w:t>
      </w:r>
      <w:r w:rsidRPr="00750993">
        <w:rPr>
          <w:sz w:val="22"/>
          <w:szCs w:val="22"/>
        </w:rPr>
        <w:t xml:space="preserve"> </w:t>
      </w:r>
      <w:bookmarkEnd w:id="11"/>
      <w:r w:rsidRPr="00750993">
        <w:rPr>
          <w:sz w:val="22"/>
          <w:szCs w:val="22"/>
        </w:rPr>
        <w:t xml:space="preserve">If, for any taxable year, the eligible gain attributable to dispositions of stock issued by a corporation and acquired by the taxpayer after the applicable date </w:t>
      </w:r>
      <w:r w:rsidRPr="00163F75">
        <w:rPr>
          <w:sz w:val="22"/>
          <w:szCs w:val="22"/>
          <w:u w:val="single"/>
        </w:rPr>
        <w:t>exceeds</w:t>
      </w:r>
      <w:r>
        <w:rPr>
          <w:sz w:val="22"/>
          <w:szCs w:val="22"/>
        </w:rPr>
        <w:t xml:space="preserve"> </w:t>
      </w:r>
      <w:r w:rsidRPr="00750993">
        <w:rPr>
          <w:sz w:val="22"/>
          <w:szCs w:val="22"/>
        </w:rPr>
        <w:t xml:space="preserve">the applicable dollar limit, then notwithstanding any increase under subparagraph (A) for any </w:t>
      </w:r>
      <w:r>
        <w:rPr>
          <w:sz w:val="22"/>
          <w:szCs w:val="22"/>
        </w:rPr>
        <w:t xml:space="preserve">subsequent </w:t>
      </w:r>
      <w:r w:rsidRPr="00750993">
        <w:rPr>
          <w:sz w:val="22"/>
          <w:szCs w:val="22"/>
        </w:rPr>
        <w:t>taxable year, the applicable dollar limit for such subsequent taxable year shall be zero.</w:t>
      </w:r>
      <w:r>
        <w:rPr>
          <w:sz w:val="22"/>
          <w:szCs w:val="22"/>
        </w:rPr>
        <w:t>”</w:t>
      </w:r>
      <w:r w:rsidRPr="00221EE2">
        <w:rPr>
          <w:rStyle w:val="FootnoteReference"/>
          <w:sz w:val="22"/>
          <w:szCs w:val="22"/>
        </w:rPr>
        <w:t xml:space="preserve"> </w:t>
      </w:r>
      <w:r>
        <w:rPr>
          <w:rStyle w:val="FootnoteReference"/>
          <w:sz w:val="22"/>
          <w:szCs w:val="22"/>
        </w:rPr>
        <w:footnoteReference w:id="41"/>
      </w:r>
    </w:p>
    <w:p w:rsidR="000E3DFC" w:rsidP="00221EE2" w14:paraId="2BE5C289" w14:textId="77777777">
      <w:pPr>
        <w:ind w:right="22"/>
        <w:rPr>
          <w:sz w:val="22"/>
          <w:szCs w:val="22"/>
        </w:rPr>
      </w:pPr>
    </w:p>
    <w:p w:rsidR="00221EE2" w:rsidP="00293C45" w14:paraId="5E61B0F8" w14:textId="0EBEF960">
      <w:pPr>
        <w:keepNext/>
        <w:keepLines/>
        <w:numPr>
          <w:ilvl w:val="2"/>
          <w:numId w:val="2"/>
        </w:numPr>
        <w:rPr>
          <w:sz w:val="22"/>
          <w:szCs w:val="22"/>
        </w:rPr>
      </w:pPr>
      <w:r>
        <w:rPr>
          <w:sz w:val="22"/>
          <w:szCs w:val="22"/>
        </w:rPr>
        <w:t>Problem</w:t>
      </w:r>
    </w:p>
    <w:p w:rsidR="00221EE2" w:rsidP="00293C45" w14:paraId="515AD49C" w14:textId="77777777">
      <w:pPr>
        <w:keepNext/>
        <w:keepLines/>
        <w:rPr>
          <w:sz w:val="22"/>
          <w:szCs w:val="22"/>
        </w:rPr>
      </w:pPr>
    </w:p>
    <w:p w:rsidR="002E7431" w:rsidP="00293C45" w14:paraId="51A5EA32" w14:textId="4FF9CC6B">
      <w:pPr>
        <w:keepNext/>
        <w:keepLines/>
        <w:ind w:firstLine="567"/>
        <w:rPr>
          <w:sz w:val="22"/>
          <w:szCs w:val="22"/>
        </w:rPr>
      </w:pPr>
      <w:bookmarkStart w:id="12" w:name="_Hlk209366161"/>
      <w:r>
        <w:rPr>
          <w:sz w:val="22"/>
          <w:szCs w:val="22"/>
        </w:rPr>
        <w:t xml:space="preserve">The “No Increase Once </w:t>
      </w:r>
      <w:r w:rsidR="00A82CAB">
        <w:rPr>
          <w:sz w:val="22"/>
          <w:szCs w:val="22"/>
        </w:rPr>
        <w:t>L</w:t>
      </w:r>
      <w:r>
        <w:rPr>
          <w:sz w:val="22"/>
          <w:szCs w:val="22"/>
        </w:rPr>
        <w:t xml:space="preserve">imit Reached” provision is obviously included to ensure that if a taxpayer sells QSB stock, realizing eligible gain equal to </w:t>
      </w:r>
      <w:r w:rsidR="00A82CAB">
        <w:rPr>
          <w:sz w:val="22"/>
          <w:szCs w:val="22"/>
        </w:rPr>
        <w:t xml:space="preserve">the </w:t>
      </w:r>
      <w:r>
        <w:rPr>
          <w:sz w:val="22"/>
          <w:szCs w:val="22"/>
        </w:rPr>
        <w:t>Applicable Dollar Limit, the taxpayer can’t then claim additional exclusion (Applicable  Dollar Limit) in subsequent years</w:t>
      </w:r>
      <w:bookmarkStart w:id="13" w:name="_Hlk208672538"/>
      <w:r>
        <w:rPr>
          <w:sz w:val="22"/>
          <w:szCs w:val="22"/>
        </w:rPr>
        <w:t xml:space="preserve"> due to the inflation adjustment</w:t>
      </w:r>
      <w:bookmarkEnd w:id="13"/>
      <w:r>
        <w:rPr>
          <w:sz w:val="22"/>
          <w:szCs w:val="22"/>
        </w:rPr>
        <w:t xml:space="preserve">.  </w:t>
      </w:r>
      <w:bookmarkStart w:id="14" w:name="_Hlk208672734"/>
      <w:r>
        <w:rPr>
          <w:sz w:val="22"/>
          <w:szCs w:val="22"/>
        </w:rPr>
        <w:t>The provision was probably included with the intention that if a taxpayer realizes $</w:t>
      </w:r>
      <w:r w:rsidR="00163F75">
        <w:rPr>
          <w:sz w:val="22"/>
          <w:szCs w:val="22"/>
        </w:rPr>
        <w:t>6</w:t>
      </w:r>
      <w:r>
        <w:rPr>
          <w:sz w:val="22"/>
          <w:szCs w:val="22"/>
        </w:rPr>
        <w:t xml:space="preserve"> million of eligible gain (</w:t>
      </w:r>
      <w:r w:rsidR="00163F75">
        <w:rPr>
          <w:sz w:val="22"/>
          <w:szCs w:val="22"/>
        </w:rPr>
        <w:t>40%</w:t>
      </w:r>
      <w:r>
        <w:rPr>
          <w:sz w:val="22"/>
          <w:szCs w:val="22"/>
        </w:rPr>
        <w:t xml:space="preserve"> of the $15 million Additional Dollar Limit, ignoring inflation adjustments) in one year, the taxpayer’s inflation adjustment should be to the rem</w:t>
      </w:r>
      <w:r>
        <w:rPr>
          <w:sz w:val="22"/>
          <w:szCs w:val="22"/>
        </w:rPr>
        <w:t>a</w:t>
      </w:r>
      <w:r>
        <w:rPr>
          <w:sz w:val="22"/>
          <w:szCs w:val="22"/>
        </w:rPr>
        <w:t>ining</w:t>
      </w:r>
      <w:r>
        <w:rPr>
          <w:sz w:val="22"/>
          <w:szCs w:val="22"/>
        </w:rPr>
        <w:t xml:space="preserve"> </w:t>
      </w:r>
      <w:r w:rsidR="00F639A1">
        <w:rPr>
          <w:sz w:val="22"/>
          <w:szCs w:val="22"/>
        </w:rPr>
        <w:t xml:space="preserve">unused </w:t>
      </w:r>
      <w:r>
        <w:rPr>
          <w:sz w:val="22"/>
          <w:szCs w:val="22"/>
        </w:rPr>
        <w:t xml:space="preserve">Applicable Dollar Limit the following year (inflation-adjustment </w:t>
      </w:r>
      <w:r>
        <w:rPr>
          <w:sz w:val="22"/>
          <w:szCs w:val="22"/>
        </w:rPr>
        <w:t xml:space="preserve">based on </w:t>
      </w:r>
      <w:r>
        <w:rPr>
          <w:sz w:val="22"/>
          <w:szCs w:val="22"/>
        </w:rPr>
        <w:t>$</w:t>
      </w:r>
      <w:r w:rsidR="00F639A1">
        <w:rPr>
          <w:sz w:val="22"/>
          <w:szCs w:val="22"/>
        </w:rPr>
        <w:t>9</w:t>
      </w:r>
      <w:r>
        <w:rPr>
          <w:sz w:val="22"/>
          <w:szCs w:val="22"/>
        </w:rPr>
        <w:t xml:space="preserve"> million).</w:t>
      </w:r>
      <w:bookmarkEnd w:id="14"/>
      <w:r>
        <w:rPr>
          <w:sz w:val="22"/>
          <w:szCs w:val="22"/>
        </w:rPr>
        <w:t xml:space="preserve">  However, that is not what it says.</w:t>
      </w:r>
      <w:bookmarkEnd w:id="12"/>
    </w:p>
    <w:p w:rsidR="002E7431" w:rsidP="00221EE2" w14:paraId="286788EE" w14:textId="77777777">
      <w:pPr>
        <w:ind w:right="22" w:firstLine="567"/>
        <w:rPr>
          <w:sz w:val="22"/>
          <w:szCs w:val="22"/>
        </w:rPr>
      </w:pPr>
    </w:p>
    <w:p w:rsidR="00221EE2" w:rsidP="00221EE2" w14:paraId="394B638D" w14:textId="64B32CE1">
      <w:pPr>
        <w:ind w:right="22" w:firstLine="567"/>
        <w:rPr>
          <w:sz w:val="22"/>
          <w:szCs w:val="22"/>
        </w:rPr>
      </w:pPr>
      <w:bookmarkStart w:id="15" w:name="_Hlk209366175"/>
      <w:r>
        <w:rPr>
          <w:sz w:val="22"/>
          <w:szCs w:val="22"/>
        </w:rPr>
        <w:t>As written</w:t>
      </w:r>
      <w:r w:rsidR="00F639A1">
        <w:rPr>
          <w:sz w:val="22"/>
          <w:szCs w:val="22"/>
        </w:rPr>
        <w:t>,</w:t>
      </w:r>
      <w:r>
        <w:rPr>
          <w:sz w:val="22"/>
          <w:szCs w:val="22"/>
        </w:rPr>
        <w:t xml:space="preserve"> t</w:t>
      </w:r>
      <w:r>
        <w:rPr>
          <w:sz w:val="22"/>
          <w:szCs w:val="22"/>
        </w:rPr>
        <w:t>he provision results in an Additional Dollar Limit of zero</w:t>
      </w:r>
      <w:r w:rsidR="00F639A1">
        <w:rPr>
          <w:sz w:val="22"/>
          <w:szCs w:val="22"/>
        </w:rPr>
        <w:t xml:space="preserve"> only</w:t>
      </w:r>
      <w:r>
        <w:rPr>
          <w:sz w:val="22"/>
          <w:szCs w:val="22"/>
        </w:rPr>
        <w:t xml:space="preserve"> if eligible gain</w:t>
      </w:r>
      <w:r w:rsidR="00F639A1">
        <w:rPr>
          <w:sz w:val="22"/>
          <w:szCs w:val="22"/>
        </w:rPr>
        <w:t xml:space="preserve"> for the year</w:t>
      </w:r>
      <w:r>
        <w:rPr>
          <w:sz w:val="22"/>
          <w:szCs w:val="22"/>
        </w:rPr>
        <w:t xml:space="preserve"> </w:t>
      </w:r>
      <w:r w:rsidRPr="00C72B9E">
        <w:rPr>
          <w:sz w:val="22"/>
          <w:szCs w:val="22"/>
          <w:u w:val="single"/>
        </w:rPr>
        <w:t>exceeds</w:t>
      </w:r>
      <w:r>
        <w:rPr>
          <w:sz w:val="22"/>
          <w:szCs w:val="22"/>
        </w:rPr>
        <w:t xml:space="preserve"> the Applicable Dollar Limit</w:t>
      </w:r>
      <w:r w:rsidR="00F639A1">
        <w:rPr>
          <w:sz w:val="22"/>
          <w:szCs w:val="22"/>
        </w:rPr>
        <w:t xml:space="preserve">, and more importantly, </w:t>
      </w:r>
      <w:r>
        <w:rPr>
          <w:sz w:val="22"/>
          <w:szCs w:val="22"/>
        </w:rPr>
        <w:t>the inflation adjustment provision is not</w:t>
      </w:r>
      <w:r w:rsidR="000C311B">
        <w:rPr>
          <w:sz w:val="22"/>
          <w:szCs w:val="22"/>
        </w:rPr>
        <w:t xml:space="preserve"> clearly</w:t>
      </w:r>
      <w:r>
        <w:rPr>
          <w:sz w:val="22"/>
          <w:szCs w:val="22"/>
        </w:rPr>
        <w:t xml:space="preserve"> tied to the balance of the Additional Dollar Limit at the end of each taxable year.  Rather</w:t>
      </w:r>
      <w:r w:rsidR="00163F75">
        <w:rPr>
          <w:sz w:val="22"/>
          <w:szCs w:val="22"/>
        </w:rPr>
        <w:t>,</w:t>
      </w:r>
      <w:r>
        <w:rPr>
          <w:sz w:val="22"/>
          <w:szCs w:val="22"/>
        </w:rPr>
        <w:t xml:space="preserve"> it reads, “</w:t>
      </w:r>
      <w:r w:rsidRPr="00730942">
        <w:rPr>
          <w:sz w:val="22"/>
          <w:szCs w:val="22"/>
        </w:rPr>
        <w:t>In the case of any taxable year beginning after 2026, the $15,000,000 amount in</w:t>
      </w:r>
      <w:r>
        <w:rPr>
          <w:sz w:val="22"/>
          <w:szCs w:val="22"/>
        </w:rPr>
        <w:t xml:space="preserve"> </w:t>
      </w:r>
      <w:r w:rsidRPr="00730942">
        <w:rPr>
          <w:sz w:val="22"/>
          <w:szCs w:val="22"/>
        </w:rPr>
        <w:t>paragraph (4)(B) shall be increased by</w:t>
      </w:r>
      <w:r>
        <w:rPr>
          <w:sz w:val="22"/>
          <w:szCs w:val="22"/>
        </w:rPr>
        <w:t>…”</w:t>
      </w:r>
      <w:r>
        <w:rPr>
          <w:rStyle w:val="FootnoteReference"/>
          <w:sz w:val="22"/>
          <w:szCs w:val="22"/>
        </w:rPr>
        <w:footnoteReference w:id="42"/>
      </w:r>
      <w:r>
        <w:rPr>
          <w:sz w:val="22"/>
          <w:szCs w:val="22"/>
        </w:rPr>
        <w:t xml:space="preserve">  In other words, a taxpayer could realize</w:t>
      </w:r>
      <w:r w:rsidR="00163F75">
        <w:rPr>
          <w:sz w:val="22"/>
          <w:szCs w:val="22"/>
        </w:rPr>
        <w:t xml:space="preserve"> just</w:t>
      </w:r>
      <w:r>
        <w:rPr>
          <w:sz w:val="22"/>
          <w:szCs w:val="22"/>
        </w:rPr>
        <w:t xml:space="preserve"> enough eligible gain each year, leaving a</w:t>
      </w:r>
      <w:r>
        <w:rPr>
          <w:sz w:val="22"/>
          <w:szCs w:val="22"/>
        </w:rPr>
        <w:t xml:space="preserve"> small</w:t>
      </w:r>
      <w:r>
        <w:rPr>
          <w:sz w:val="22"/>
          <w:szCs w:val="22"/>
        </w:rPr>
        <w:t xml:space="preserve"> balance of Applicable  Dollar Limit</w:t>
      </w:r>
      <w:r>
        <w:rPr>
          <w:sz w:val="22"/>
          <w:szCs w:val="22"/>
        </w:rPr>
        <w:t xml:space="preserve"> (e.g., $100)</w:t>
      </w:r>
      <w:r>
        <w:rPr>
          <w:sz w:val="22"/>
          <w:szCs w:val="22"/>
        </w:rPr>
        <w:t xml:space="preserve">, and claim to get the inflation-adjustment based on $15 million </w:t>
      </w:r>
      <w:r>
        <w:rPr>
          <w:sz w:val="22"/>
          <w:szCs w:val="22"/>
        </w:rPr>
        <w:t xml:space="preserve">starting </w:t>
      </w:r>
      <w:r>
        <w:rPr>
          <w:sz w:val="22"/>
          <w:szCs w:val="22"/>
        </w:rPr>
        <w:t>from 2026.</w:t>
      </w:r>
      <w:bookmarkEnd w:id="15"/>
    </w:p>
    <w:p w:rsidR="00221EE2" w:rsidP="00221EE2" w14:paraId="069D6CA5" w14:textId="77777777">
      <w:pPr>
        <w:ind w:left="567" w:right="22"/>
        <w:rPr>
          <w:sz w:val="22"/>
          <w:szCs w:val="22"/>
        </w:rPr>
      </w:pPr>
    </w:p>
    <w:p w:rsidR="002E7431" w14:paraId="6000C9EC" w14:textId="18FB28A2">
      <w:pPr>
        <w:numPr>
          <w:ilvl w:val="2"/>
          <w:numId w:val="2"/>
        </w:numPr>
        <w:ind w:right="22"/>
        <w:rPr>
          <w:sz w:val="22"/>
          <w:szCs w:val="22"/>
        </w:rPr>
      </w:pPr>
      <w:r>
        <w:rPr>
          <w:sz w:val="22"/>
          <w:szCs w:val="22"/>
        </w:rPr>
        <w:t>Solution</w:t>
      </w:r>
    </w:p>
    <w:p w:rsidR="002E7431" w:rsidP="002E7431" w14:paraId="56CBDD46" w14:textId="77777777">
      <w:pPr>
        <w:ind w:right="22"/>
        <w:rPr>
          <w:sz w:val="22"/>
          <w:szCs w:val="22"/>
        </w:rPr>
      </w:pPr>
    </w:p>
    <w:p w:rsidR="00244848" w:rsidP="00244848" w14:paraId="7D7165E0" w14:textId="77777777">
      <w:pPr>
        <w:ind w:left="720" w:right="22"/>
        <w:rPr>
          <w:sz w:val="22"/>
          <w:szCs w:val="22"/>
        </w:rPr>
      </w:pPr>
      <w:r>
        <w:rPr>
          <w:sz w:val="22"/>
          <w:szCs w:val="22"/>
        </w:rPr>
        <w:t>We respectfully request the following:</w:t>
      </w:r>
    </w:p>
    <w:p w:rsidR="00244848" w:rsidP="00244848" w14:paraId="025E4547" w14:textId="77777777">
      <w:pPr>
        <w:ind w:left="720" w:right="22"/>
        <w:rPr>
          <w:sz w:val="22"/>
          <w:szCs w:val="22"/>
        </w:rPr>
      </w:pPr>
    </w:p>
    <w:p w:rsidR="00244848" w:rsidRPr="000C311B" w:rsidP="000C311B" w14:paraId="4B13A444" w14:textId="3E35ACFA">
      <w:pPr>
        <w:pStyle w:val="ListParagraph"/>
        <w:numPr>
          <w:ilvl w:val="0"/>
          <w:numId w:val="9"/>
        </w:numPr>
        <w:ind w:right="22"/>
        <w:rPr>
          <w:sz w:val="22"/>
          <w:szCs w:val="22"/>
        </w:rPr>
      </w:pPr>
      <w:bookmarkStart w:id="16" w:name="_Hlk209366225"/>
      <w:r>
        <w:rPr>
          <w:sz w:val="22"/>
          <w:szCs w:val="22"/>
        </w:rPr>
        <w:t>Provide guidance or m</w:t>
      </w:r>
      <w:r>
        <w:rPr>
          <w:sz w:val="22"/>
          <w:szCs w:val="22"/>
        </w:rPr>
        <w:t>ake a</w:t>
      </w:r>
      <w:r w:rsidRPr="009A50D2">
        <w:rPr>
          <w:sz w:val="22"/>
          <w:szCs w:val="22"/>
        </w:rPr>
        <w:t xml:space="preserve"> technical correction to section 70431</w:t>
      </w:r>
      <w:r>
        <w:rPr>
          <w:sz w:val="22"/>
          <w:szCs w:val="22"/>
        </w:rPr>
        <w:t>(b)(</w:t>
      </w:r>
      <w:r w:rsidR="00A521B7">
        <w:rPr>
          <w:sz w:val="22"/>
          <w:szCs w:val="22"/>
        </w:rPr>
        <w:t>2</w:t>
      </w:r>
      <w:r>
        <w:rPr>
          <w:sz w:val="22"/>
          <w:szCs w:val="22"/>
        </w:rPr>
        <w:t xml:space="preserve">) of OBBBA </w:t>
      </w:r>
      <w:r>
        <w:rPr>
          <w:sz w:val="22"/>
          <w:szCs w:val="22"/>
        </w:rPr>
        <w:t>in a manner that makes clear that the inflation adjustment in</w:t>
      </w:r>
      <w:r>
        <w:rPr>
          <w:sz w:val="22"/>
          <w:szCs w:val="22"/>
        </w:rPr>
        <w:t xml:space="preserve"> 1202(b)(5)(A) </w:t>
      </w:r>
      <w:bookmarkEnd w:id="16"/>
      <w:r>
        <w:rPr>
          <w:sz w:val="22"/>
          <w:szCs w:val="22"/>
        </w:rPr>
        <w:t xml:space="preserve">provides for either: (i) no inflation adjustment in 2026, but starting in 2027, the inflation adjustment to the Per-Taxpayer Limitation will be increased from $15 million to a number that includes the aggregate amount of inflation adjustments for calendar years 2025 </w:t>
      </w:r>
      <w:r w:rsidRPr="00A91786">
        <w:rPr>
          <w:sz w:val="22"/>
          <w:szCs w:val="22"/>
          <w:u w:val="single"/>
        </w:rPr>
        <w:t>and</w:t>
      </w:r>
      <w:r>
        <w:rPr>
          <w:sz w:val="22"/>
          <w:szCs w:val="22"/>
        </w:rPr>
        <w:t xml:space="preserve"> 2026 (a 2-year inflation  adjustment); (ii) a 1-year inflation adjustment calculated from the beginning of 2025 that would be effective at the beginning of 2026; or (iii) no inflation adjustment in 2026 but provid</w:t>
      </w:r>
      <w:r w:rsidR="00083E4D">
        <w:rPr>
          <w:sz w:val="22"/>
          <w:szCs w:val="22"/>
        </w:rPr>
        <w:t>ing</w:t>
      </w:r>
      <w:r>
        <w:rPr>
          <w:sz w:val="22"/>
          <w:szCs w:val="22"/>
        </w:rPr>
        <w:t xml:space="preserve"> a 1-year inflation adjustment calculated from the beginning of 2026 that would be effective at the beginning of 2027.</w:t>
      </w:r>
    </w:p>
    <w:p w:rsidR="00244848" w:rsidP="00244848" w14:paraId="5B53DB03" w14:textId="77777777">
      <w:pPr>
        <w:pStyle w:val="ListParagraph"/>
        <w:ind w:left="1080" w:right="22"/>
        <w:rPr>
          <w:sz w:val="22"/>
          <w:szCs w:val="22"/>
        </w:rPr>
      </w:pPr>
    </w:p>
    <w:p w:rsidR="000C311B" w:rsidRPr="00253B2B" w:rsidP="00253B2B" w14:paraId="69479A52" w14:textId="29E751CB">
      <w:pPr>
        <w:pStyle w:val="ListParagraph"/>
        <w:numPr>
          <w:ilvl w:val="0"/>
          <w:numId w:val="9"/>
        </w:numPr>
        <w:ind w:right="22"/>
        <w:rPr>
          <w:sz w:val="22"/>
          <w:szCs w:val="22"/>
        </w:rPr>
      </w:pPr>
      <w:bookmarkStart w:id="17" w:name="_Hlk209366240"/>
      <w:r>
        <w:rPr>
          <w:sz w:val="22"/>
          <w:szCs w:val="22"/>
        </w:rPr>
        <w:t xml:space="preserve">Amend and </w:t>
      </w:r>
      <w:r>
        <w:rPr>
          <w:sz w:val="22"/>
          <w:szCs w:val="22"/>
        </w:rPr>
        <w:t xml:space="preserve">provide guidance on </w:t>
      </w:r>
      <w:r>
        <w:rPr>
          <w:sz w:val="22"/>
          <w:szCs w:val="22"/>
        </w:rPr>
        <w:t xml:space="preserve">section </w:t>
      </w:r>
      <w:r w:rsidRPr="009A50D2">
        <w:rPr>
          <w:sz w:val="22"/>
          <w:szCs w:val="22"/>
        </w:rPr>
        <w:t>70431</w:t>
      </w:r>
      <w:r>
        <w:rPr>
          <w:sz w:val="22"/>
          <w:szCs w:val="22"/>
        </w:rPr>
        <w:t xml:space="preserve">(b)(2) of OBBBA so that section 1202(b)(5)(A) reads, </w:t>
      </w:r>
      <w:r w:rsidR="00253B2B">
        <w:rPr>
          <w:sz w:val="22"/>
          <w:szCs w:val="22"/>
        </w:rPr>
        <w:t xml:space="preserve"> </w:t>
      </w:r>
      <w:r w:rsidRPr="00253B2B">
        <w:rPr>
          <w:sz w:val="22"/>
          <w:szCs w:val="22"/>
        </w:rPr>
        <w:t>(A) IN GENERAL.—In the case of any</w:t>
      </w:r>
      <w:r w:rsidRPr="00253B2B">
        <w:rPr>
          <w:rFonts w:ascii="DeVinne" w:hAnsi="DeVinne" w:cs="DeVinne"/>
          <w:sz w:val="28"/>
          <w:szCs w:val="28"/>
          <w:lang w:eastAsia="en-US"/>
        </w:rPr>
        <w:t xml:space="preserve"> </w:t>
      </w:r>
      <w:r w:rsidRPr="00253B2B">
        <w:rPr>
          <w:sz w:val="22"/>
          <w:szCs w:val="22"/>
        </w:rPr>
        <w:t>taxable year beginning after 2025, the</w:t>
      </w:r>
      <w:r w:rsidRPr="00253B2B">
        <w:rPr>
          <w:rFonts w:ascii="DeVinne" w:hAnsi="DeVinne" w:cs="DeVinne"/>
          <w:sz w:val="28"/>
          <w:szCs w:val="28"/>
          <w:lang w:eastAsia="en-US"/>
        </w:rPr>
        <w:t xml:space="preserve"> </w:t>
      </w:r>
      <w:r w:rsidRPr="00253B2B">
        <w:rPr>
          <w:sz w:val="22"/>
          <w:szCs w:val="22"/>
        </w:rPr>
        <w:t>unused applicable dollar limit det</w:t>
      </w:r>
      <w:r w:rsidRPr="00253B2B">
        <w:rPr>
          <w:sz w:val="22"/>
          <w:szCs w:val="22"/>
        </w:rPr>
        <w:t>ermined under paragraph (4)(B)  at the end of the previous taxable year shall be increased by an amount equal to—"</w:t>
      </w:r>
      <w:bookmarkEnd w:id="17"/>
    </w:p>
    <w:p w:rsidR="00A521B7" w:rsidRPr="00A521B7" w:rsidP="00A521B7" w14:paraId="43E97D59" w14:textId="77777777">
      <w:pPr>
        <w:pStyle w:val="ListParagraph"/>
        <w:rPr>
          <w:sz w:val="22"/>
          <w:szCs w:val="22"/>
        </w:rPr>
      </w:pPr>
    </w:p>
    <w:p w:rsidR="00244848" w:rsidRPr="00A521B7" w:rsidP="00A521B7" w14:paraId="3B05F0C2" w14:textId="0F5C1B42">
      <w:pPr>
        <w:pStyle w:val="ListParagraph"/>
        <w:numPr>
          <w:ilvl w:val="0"/>
          <w:numId w:val="9"/>
        </w:numPr>
        <w:ind w:right="22"/>
        <w:rPr>
          <w:sz w:val="22"/>
          <w:szCs w:val="22"/>
        </w:rPr>
      </w:pPr>
      <w:bookmarkStart w:id="18" w:name="_Hlk209366256"/>
      <w:r>
        <w:rPr>
          <w:sz w:val="22"/>
          <w:szCs w:val="22"/>
        </w:rPr>
        <w:t xml:space="preserve">Amend section </w:t>
      </w:r>
      <w:r w:rsidRPr="009A50D2" w:rsidR="00A521B7">
        <w:rPr>
          <w:sz w:val="22"/>
          <w:szCs w:val="22"/>
        </w:rPr>
        <w:t>70431</w:t>
      </w:r>
      <w:r w:rsidR="00A521B7">
        <w:rPr>
          <w:sz w:val="22"/>
          <w:szCs w:val="22"/>
        </w:rPr>
        <w:t xml:space="preserve">(b)(2) of OBBBA so that section 1202(b)(5)(B) </w:t>
      </w:r>
      <w:r w:rsidR="000C311B">
        <w:rPr>
          <w:sz w:val="22"/>
          <w:szCs w:val="22"/>
        </w:rPr>
        <w:t xml:space="preserve">makes clear that </w:t>
      </w:r>
      <w:r w:rsidR="00253B2B">
        <w:rPr>
          <w:sz w:val="22"/>
          <w:szCs w:val="22"/>
        </w:rPr>
        <w:t>there is no inflation-adjustment to any portion of the aggregate applicable dollar limit that has been used in previous taxable years.</w:t>
      </w:r>
      <w:bookmarkEnd w:id="18"/>
    </w:p>
    <w:p w:rsidR="002E7431" w:rsidP="002E7431" w14:paraId="27BA3B4B" w14:textId="77777777">
      <w:pPr>
        <w:ind w:right="22"/>
        <w:rPr>
          <w:sz w:val="22"/>
          <w:szCs w:val="22"/>
        </w:rPr>
      </w:pPr>
    </w:p>
    <w:p w:rsidR="0049753F" w14:paraId="155E6D85" w14:textId="46303A35">
      <w:pPr>
        <w:keepNext/>
        <w:keepLines/>
        <w:numPr>
          <w:ilvl w:val="1"/>
          <w:numId w:val="2"/>
        </w:numPr>
        <w:rPr>
          <w:sz w:val="22"/>
          <w:szCs w:val="22"/>
        </w:rPr>
      </w:pPr>
      <w:r>
        <w:rPr>
          <w:sz w:val="22"/>
          <w:szCs w:val="22"/>
        </w:rPr>
        <w:t>Aggregate Gross Asset Requirement</w:t>
      </w:r>
    </w:p>
    <w:p w:rsidR="00304068" w:rsidP="00C664F4" w14:paraId="24005E39" w14:textId="77777777">
      <w:pPr>
        <w:keepNext/>
        <w:keepLines/>
        <w:ind w:left="567"/>
        <w:rPr>
          <w:sz w:val="22"/>
          <w:szCs w:val="22"/>
        </w:rPr>
      </w:pPr>
    </w:p>
    <w:p w:rsidR="00304068" w14:paraId="0405582E" w14:textId="3DCC2062">
      <w:pPr>
        <w:keepNext/>
        <w:keepLines/>
        <w:numPr>
          <w:ilvl w:val="2"/>
          <w:numId w:val="2"/>
        </w:numPr>
        <w:rPr>
          <w:sz w:val="22"/>
          <w:szCs w:val="22"/>
        </w:rPr>
      </w:pPr>
      <w:r>
        <w:rPr>
          <w:sz w:val="22"/>
          <w:szCs w:val="22"/>
        </w:rPr>
        <w:t>OBBA Amendments</w:t>
      </w:r>
    </w:p>
    <w:p w:rsidR="009F4147" w:rsidRPr="009F4147" w:rsidP="00C664F4" w14:paraId="7629B4E5" w14:textId="77777777">
      <w:pPr>
        <w:keepNext/>
        <w:keepLines/>
        <w:rPr>
          <w:sz w:val="22"/>
          <w:szCs w:val="22"/>
        </w:rPr>
      </w:pPr>
    </w:p>
    <w:p w:rsidR="009F4147" w:rsidRPr="009F4147" w:rsidP="00C664F4" w14:paraId="390DAEBA" w14:textId="16A39C03">
      <w:pPr>
        <w:keepNext/>
        <w:keepLines/>
        <w:ind w:firstLine="720"/>
        <w:rPr>
          <w:sz w:val="22"/>
          <w:szCs w:val="22"/>
        </w:rPr>
      </w:pPr>
      <w:bookmarkStart w:id="19" w:name="_Hlk209104173"/>
      <w:r w:rsidRPr="009F4147">
        <w:rPr>
          <w:sz w:val="22"/>
          <w:szCs w:val="22"/>
        </w:rPr>
        <w:t xml:space="preserve">OBBBA increases the Aggregate Gross Asset Requirement from $50 million to $75 million </w:t>
      </w:r>
      <w:r>
        <w:rPr>
          <w:sz w:val="22"/>
          <w:szCs w:val="22"/>
        </w:rPr>
        <w:t>in defining a QSB</w:t>
      </w:r>
      <w:r w:rsidRPr="009F4147">
        <w:rPr>
          <w:sz w:val="22"/>
          <w:szCs w:val="22"/>
        </w:rPr>
        <w:t>.</w:t>
      </w:r>
      <w:r>
        <w:rPr>
          <w:rStyle w:val="FootnoteReference"/>
          <w:sz w:val="22"/>
          <w:szCs w:val="22"/>
        </w:rPr>
        <w:footnoteReference w:id="43"/>
      </w:r>
      <w:r w:rsidRPr="009F4147">
        <w:rPr>
          <w:sz w:val="22"/>
          <w:szCs w:val="22"/>
        </w:rPr>
        <w:t xml:space="preserve">  It should be noted that OBBBA made this change by simply striking “$50,000,000” and inserting “$75,000,000.”   As such, this </w:t>
      </w:r>
      <w:r>
        <w:rPr>
          <w:sz w:val="22"/>
          <w:szCs w:val="22"/>
        </w:rPr>
        <w:t xml:space="preserve">new </w:t>
      </w:r>
      <w:r w:rsidR="00083E4D">
        <w:rPr>
          <w:sz w:val="22"/>
          <w:szCs w:val="22"/>
        </w:rPr>
        <w:t xml:space="preserve">requirement </w:t>
      </w:r>
      <w:r w:rsidRPr="009F4147">
        <w:rPr>
          <w:sz w:val="22"/>
          <w:szCs w:val="22"/>
        </w:rPr>
        <w:t xml:space="preserve">is not tied </w:t>
      </w:r>
      <w:r>
        <w:rPr>
          <w:sz w:val="22"/>
          <w:szCs w:val="22"/>
        </w:rPr>
        <w:t xml:space="preserve">to </w:t>
      </w:r>
      <w:r w:rsidRPr="009F4147">
        <w:rPr>
          <w:sz w:val="22"/>
          <w:szCs w:val="22"/>
        </w:rPr>
        <w:t>QSB shares issued after the applicable date</w:t>
      </w:r>
      <w:r w:rsidR="008B54A4">
        <w:rPr>
          <w:sz w:val="22"/>
          <w:szCs w:val="22"/>
        </w:rPr>
        <w:t>;</w:t>
      </w:r>
      <w:r w:rsidRPr="009F4147">
        <w:rPr>
          <w:sz w:val="22"/>
          <w:szCs w:val="22"/>
        </w:rPr>
        <w:t xml:space="preserve"> rather</w:t>
      </w:r>
      <w:r w:rsidR="008B54A4">
        <w:rPr>
          <w:sz w:val="22"/>
          <w:szCs w:val="22"/>
        </w:rPr>
        <w:t>,</w:t>
      </w:r>
      <w:r w:rsidRPr="009F4147">
        <w:rPr>
          <w:sz w:val="22"/>
          <w:szCs w:val="22"/>
        </w:rPr>
        <w:t xml:space="preserve"> it applies to all QSB qualification shares issued after the initial enactment of section 1202 in 1993.</w:t>
      </w:r>
      <w:bookmarkEnd w:id="19"/>
    </w:p>
    <w:p w:rsidR="009F4147" w:rsidRPr="009F4147" w:rsidP="009F4147" w14:paraId="5CF4E106" w14:textId="77777777">
      <w:pPr>
        <w:ind w:right="22"/>
        <w:rPr>
          <w:sz w:val="22"/>
          <w:szCs w:val="22"/>
        </w:rPr>
      </w:pPr>
    </w:p>
    <w:p w:rsidR="009F4147" w:rsidRPr="009F4147" w:rsidP="009F4147" w14:paraId="396979A6" w14:textId="42E11EAF">
      <w:pPr>
        <w:ind w:right="22" w:firstLine="720"/>
        <w:rPr>
          <w:sz w:val="22"/>
          <w:szCs w:val="22"/>
        </w:rPr>
      </w:pPr>
      <w:bookmarkStart w:id="20" w:name="_Hlk209104203"/>
      <w:r w:rsidRPr="009F4147">
        <w:rPr>
          <w:sz w:val="22"/>
          <w:szCs w:val="22"/>
        </w:rPr>
        <w:t xml:space="preserve">As amended, the provision now provides that a </w:t>
      </w:r>
      <w:r w:rsidR="00163F75">
        <w:rPr>
          <w:sz w:val="22"/>
          <w:szCs w:val="22"/>
        </w:rPr>
        <w:t>QSB</w:t>
      </w:r>
      <w:r w:rsidRPr="009F4147">
        <w:rPr>
          <w:sz w:val="22"/>
          <w:szCs w:val="22"/>
        </w:rPr>
        <w:t xml:space="preserve"> means any domestic C corporation if:</w:t>
      </w:r>
      <w:r>
        <w:rPr>
          <w:rStyle w:val="FootnoteReference"/>
          <w:sz w:val="22"/>
          <w:szCs w:val="22"/>
        </w:rPr>
        <w:footnoteReference w:id="44"/>
      </w:r>
      <w:bookmarkEnd w:id="20"/>
    </w:p>
    <w:p w:rsidR="009F4147" w:rsidRPr="009F4147" w:rsidP="009F4147" w14:paraId="1E6CA04F" w14:textId="77777777">
      <w:pPr>
        <w:ind w:right="22"/>
        <w:rPr>
          <w:sz w:val="22"/>
          <w:szCs w:val="22"/>
        </w:rPr>
      </w:pPr>
    </w:p>
    <w:p w:rsidR="009F4147" w:rsidRPr="009F4147" w14:paraId="484EC9B8" w14:textId="1761A1B7">
      <w:pPr>
        <w:pStyle w:val="ListParagraph"/>
        <w:numPr>
          <w:ilvl w:val="0"/>
          <w:numId w:val="7"/>
        </w:numPr>
        <w:ind w:right="22"/>
        <w:rPr>
          <w:sz w:val="22"/>
          <w:szCs w:val="22"/>
        </w:rPr>
      </w:pPr>
      <w:r w:rsidRPr="009F4147">
        <w:rPr>
          <w:sz w:val="22"/>
          <w:szCs w:val="22"/>
        </w:rPr>
        <w:t>[T]he aggregate gross assets of such corporation (or any predecessor thereof) at all times on or after the date of the enactment of the Revenue Reconciliation Act of 1993 and before the issuance did not exceed $75,000,000,</w:t>
      </w:r>
      <w:r>
        <w:rPr>
          <w:rStyle w:val="FootnoteReference"/>
          <w:sz w:val="22"/>
          <w:szCs w:val="22"/>
        </w:rPr>
        <w:footnoteReference w:id="45"/>
      </w:r>
    </w:p>
    <w:p w:rsidR="009F4147" w:rsidRPr="009F4147" w:rsidP="009F4147" w14:paraId="119D7B94" w14:textId="77777777">
      <w:pPr>
        <w:ind w:right="22"/>
        <w:rPr>
          <w:sz w:val="22"/>
          <w:szCs w:val="22"/>
        </w:rPr>
      </w:pPr>
    </w:p>
    <w:p w:rsidR="009F4147" w:rsidRPr="009F4147" w14:paraId="619A872C" w14:textId="74629A94">
      <w:pPr>
        <w:pStyle w:val="ListParagraph"/>
        <w:numPr>
          <w:ilvl w:val="0"/>
          <w:numId w:val="8"/>
        </w:numPr>
        <w:ind w:right="22"/>
        <w:rPr>
          <w:sz w:val="22"/>
          <w:szCs w:val="22"/>
        </w:rPr>
      </w:pPr>
      <w:r w:rsidRPr="009F4147">
        <w:rPr>
          <w:sz w:val="22"/>
          <w:szCs w:val="22"/>
        </w:rPr>
        <w:t>[T]he aggregate gross assets of such corporation immediately after the issuance (determined by taking into account amounts received in the issuance) do not exceed $75,000,000,</w:t>
      </w:r>
      <w:r>
        <w:rPr>
          <w:rStyle w:val="FootnoteReference"/>
          <w:sz w:val="22"/>
          <w:szCs w:val="22"/>
        </w:rPr>
        <w:footnoteReference w:id="46"/>
      </w:r>
      <w:r w:rsidRPr="009F4147">
        <w:rPr>
          <w:sz w:val="22"/>
          <w:szCs w:val="22"/>
        </w:rPr>
        <w:t xml:space="preserve"> and</w:t>
      </w:r>
    </w:p>
    <w:p w:rsidR="009F4147" w:rsidRPr="009F4147" w:rsidP="009F4147" w14:paraId="00409BD9" w14:textId="77777777">
      <w:pPr>
        <w:ind w:right="22"/>
        <w:rPr>
          <w:sz w:val="22"/>
          <w:szCs w:val="22"/>
        </w:rPr>
      </w:pPr>
    </w:p>
    <w:p w:rsidR="009F4147" w:rsidRPr="009F4147" w14:paraId="49A786C8" w14:textId="60F97D6A">
      <w:pPr>
        <w:pStyle w:val="ListParagraph"/>
        <w:numPr>
          <w:ilvl w:val="0"/>
          <w:numId w:val="8"/>
        </w:numPr>
        <w:ind w:right="22"/>
        <w:rPr>
          <w:sz w:val="22"/>
          <w:szCs w:val="22"/>
        </w:rPr>
      </w:pPr>
      <w:r w:rsidRPr="009F4147">
        <w:rPr>
          <w:sz w:val="22"/>
          <w:szCs w:val="22"/>
        </w:rPr>
        <w:t>[S]uch corporation agrees to submit such reports to the Secretary and to shareholders as the Secretary may require to carry out the purposes of this section.</w:t>
      </w:r>
      <w:r>
        <w:rPr>
          <w:rStyle w:val="FootnoteReference"/>
          <w:sz w:val="22"/>
          <w:szCs w:val="22"/>
        </w:rPr>
        <w:footnoteReference w:id="47"/>
      </w:r>
    </w:p>
    <w:p w:rsidR="009F4147" w:rsidRPr="009F4147" w:rsidP="009F4147" w14:paraId="3AEA9447" w14:textId="77777777">
      <w:pPr>
        <w:ind w:right="22"/>
        <w:rPr>
          <w:sz w:val="22"/>
          <w:szCs w:val="22"/>
        </w:rPr>
      </w:pPr>
    </w:p>
    <w:p w:rsidR="009F4147" w:rsidP="0096477F" w14:paraId="2FEE7F57" w14:textId="7DB14183">
      <w:pPr>
        <w:ind w:right="22"/>
        <w:rPr>
          <w:sz w:val="22"/>
          <w:szCs w:val="22"/>
        </w:rPr>
      </w:pPr>
      <w:bookmarkStart w:id="21" w:name="_Hlk209104258"/>
      <w:r>
        <w:rPr>
          <w:sz w:val="22"/>
          <w:szCs w:val="22"/>
        </w:rPr>
        <w:t>With regard to the effective date, OBBBA provides, “</w:t>
      </w:r>
      <w:r w:rsidRPr="00DC793A">
        <w:rPr>
          <w:sz w:val="22"/>
          <w:szCs w:val="22"/>
        </w:rPr>
        <w:t>The amendments made</w:t>
      </w:r>
      <w:r>
        <w:rPr>
          <w:sz w:val="22"/>
          <w:szCs w:val="22"/>
        </w:rPr>
        <w:t xml:space="preserve"> </w:t>
      </w:r>
      <w:r w:rsidRPr="00DC793A">
        <w:rPr>
          <w:sz w:val="22"/>
          <w:szCs w:val="22"/>
        </w:rPr>
        <w:t>by this subsection shall apply to stock issued after</w:t>
      </w:r>
      <w:r>
        <w:rPr>
          <w:sz w:val="22"/>
          <w:szCs w:val="22"/>
        </w:rPr>
        <w:t xml:space="preserve"> </w:t>
      </w:r>
      <w:r w:rsidRPr="00DC793A">
        <w:rPr>
          <w:sz w:val="22"/>
          <w:szCs w:val="22"/>
        </w:rPr>
        <w:t>the date of the enactment of this Act.</w:t>
      </w:r>
      <w:r>
        <w:rPr>
          <w:sz w:val="22"/>
          <w:szCs w:val="22"/>
        </w:rPr>
        <w:t>”</w:t>
      </w:r>
      <w:r>
        <w:rPr>
          <w:rStyle w:val="FootnoteReference"/>
          <w:sz w:val="22"/>
          <w:szCs w:val="22"/>
        </w:rPr>
        <w:footnoteReference w:id="48"/>
      </w:r>
      <w:bookmarkEnd w:id="21"/>
    </w:p>
    <w:p w:rsidR="009F4147" w:rsidP="009F4147" w14:paraId="3EE65B7F" w14:textId="77777777">
      <w:pPr>
        <w:ind w:right="22" w:firstLine="720"/>
        <w:rPr>
          <w:sz w:val="22"/>
          <w:szCs w:val="22"/>
        </w:rPr>
      </w:pPr>
    </w:p>
    <w:p w:rsidR="009F4147" w:rsidP="002B5301" w14:paraId="3B57473B" w14:textId="17E27760">
      <w:pPr>
        <w:ind w:right="22" w:firstLine="720"/>
        <w:rPr>
          <w:sz w:val="22"/>
          <w:szCs w:val="22"/>
        </w:rPr>
      </w:pPr>
      <w:bookmarkStart w:id="22" w:name="_Hlk209104309"/>
      <w:r>
        <w:rPr>
          <w:sz w:val="22"/>
          <w:szCs w:val="22"/>
        </w:rPr>
        <w:t xml:space="preserve">Assuming the </w:t>
      </w:r>
      <w:r w:rsidR="0096477F">
        <w:rPr>
          <w:sz w:val="22"/>
          <w:szCs w:val="22"/>
        </w:rPr>
        <w:t>technical correction noted above is made to the inflation adjustment to the Aggregate Gross Asset Requirement</w:t>
      </w:r>
      <w:r>
        <w:rPr>
          <w:sz w:val="22"/>
          <w:szCs w:val="22"/>
        </w:rPr>
        <w:t xml:space="preserve">, new </w:t>
      </w:r>
      <w:r w:rsidRPr="009F4147">
        <w:rPr>
          <w:sz w:val="22"/>
          <w:szCs w:val="22"/>
        </w:rPr>
        <w:t>section 1202(</w:t>
      </w:r>
      <w:r>
        <w:rPr>
          <w:sz w:val="22"/>
          <w:szCs w:val="22"/>
        </w:rPr>
        <w:t>d</w:t>
      </w:r>
      <w:r w:rsidRPr="009F4147">
        <w:rPr>
          <w:sz w:val="22"/>
          <w:szCs w:val="22"/>
        </w:rPr>
        <w:t>)(4) provide</w:t>
      </w:r>
      <w:r>
        <w:rPr>
          <w:sz w:val="22"/>
          <w:szCs w:val="22"/>
        </w:rPr>
        <w:t>s</w:t>
      </w:r>
      <w:r w:rsidRPr="009F4147">
        <w:rPr>
          <w:sz w:val="22"/>
          <w:szCs w:val="22"/>
        </w:rPr>
        <w:t xml:space="preserve"> that the $75 million limit amount will be increased by the cost-of-living adjustment starting in 2026</w:t>
      </w:r>
      <w:r w:rsidR="0089680F">
        <w:rPr>
          <w:sz w:val="22"/>
          <w:szCs w:val="22"/>
        </w:rPr>
        <w:t xml:space="preserve"> or 2027</w:t>
      </w:r>
      <w:r w:rsidR="002B108A">
        <w:rPr>
          <w:sz w:val="22"/>
          <w:szCs w:val="22"/>
        </w:rPr>
        <w:t>, but it is not clear which and from when it should be calculated</w:t>
      </w:r>
      <w:r w:rsidRPr="009F4147">
        <w:rPr>
          <w:sz w:val="22"/>
          <w:szCs w:val="22"/>
        </w:rPr>
        <w:t>.</w:t>
      </w:r>
      <w:r w:rsidR="0089680F">
        <w:rPr>
          <w:sz w:val="22"/>
          <w:szCs w:val="22"/>
        </w:rPr>
        <w:t xml:space="preserve">  </w:t>
      </w:r>
      <w:r>
        <w:rPr>
          <w:sz w:val="22"/>
          <w:szCs w:val="22"/>
        </w:rPr>
        <w:t xml:space="preserve">Again, as with the inflation adjustment language for the Per-Taxpayer </w:t>
      </w:r>
      <w:r w:rsidR="00201433">
        <w:rPr>
          <w:sz w:val="22"/>
          <w:szCs w:val="22"/>
        </w:rPr>
        <w:t>L</w:t>
      </w:r>
      <w:r>
        <w:rPr>
          <w:sz w:val="22"/>
          <w:szCs w:val="22"/>
        </w:rPr>
        <w:t>imitation</w:t>
      </w:r>
      <w:r w:rsidRPr="009F4147">
        <w:rPr>
          <w:sz w:val="22"/>
          <w:szCs w:val="22"/>
        </w:rPr>
        <w:t xml:space="preserve"> </w:t>
      </w:r>
      <w:r>
        <w:rPr>
          <w:sz w:val="22"/>
          <w:szCs w:val="22"/>
        </w:rPr>
        <w:t xml:space="preserve">discussed above, </w:t>
      </w:r>
      <w:r w:rsidR="002B5301">
        <w:rPr>
          <w:sz w:val="22"/>
          <w:szCs w:val="22"/>
        </w:rPr>
        <w:t>t</w:t>
      </w:r>
      <w:r w:rsidRPr="007839E1">
        <w:rPr>
          <w:sz w:val="22"/>
          <w:szCs w:val="22"/>
        </w:rPr>
        <w:t xml:space="preserve">he text of OBBBA provides the inflation adjustment applies in “the case of any taxable year beginning </w:t>
      </w:r>
      <w:r w:rsidRPr="007839E1">
        <w:rPr>
          <w:sz w:val="22"/>
          <w:szCs w:val="22"/>
          <w:u w:val="single"/>
        </w:rPr>
        <w:t>after</w:t>
      </w:r>
      <w:r w:rsidRPr="007839E1">
        <w:rPr>
          <w:sz w:val="22"/>
          <w:szCs w:val="22"/>
        </w:rPr>
        <w:t xml:space="preserve"> </w:t>
      </w:r>
      <w:r w:rsidRPr="007839E1">
        <w:rPr>
          <w:sz w:val="22"/>
          <w:szCs w:val="22"/>
          <w:u w:val="single"/>
        </w:rPr>
        <w:t>2026</w:t>
      </w:r>
      <w:r w:rsidRPr="007839E1">
        <w:rPr>
          <w:sz w:val="22"/>
          <w:szCs w:val="22"/>
        </w:rPr>
        <w:t>,”</w:t>
      </w:r>
      <w:r>
        <w:rPr>
          <w:sz w:val="22"/>
          <w:szCs w:val="22"/>
          <w:vertAlign w:val="superscript"/>
        </w:rPr>
        <w:footnoteReference w:id="49"/>
      </w:r>
      <w:r w:rsidR="002B5301">
        <w:rPr>
          <w:sz w:val="22"/>
          <w:szCs w:val="22"/>
        </w:rPr>
        <w:t xml:space="preserve">  </w:t>
      </w:r>
      <w:r w:rsidR="0089680F">
        <w:rPr>
          <w:sz w:val="22"/>
          <w:szCs w:val="22"/>
        </w:rPr>
        <w:t>but section 1202(d)(4), as corrected, chang</w:t>
      </w:r>
      <w:r w:rsidR="008B54A4">
        <w:rPr>
          <w:sz w:val="22"/>
          <w:szCs w:val="22"/>
        </w:rPr>
        <w:t>es</w:t>
      </w:r>
      <w:r w:rsidR="0089680F">
        <w:rPr>
          <w:sz w:val="22"/>
          <w:szCs w:val="22"/>
        </w:rPr>
        <w:t xml:space="preserve"> the reference in section 1(f)(3) from “calendar year 2016” to “calendar year </w:t>
      </w:r>
      <w:r w:rsidRPr="00BD7B5D" w:rsidR="0089680F">
        <w:rPr>
          <w:sz w:val="22"/>
          <w:szCs w:val="22"/>
          <w:u w:val="single"/>
        </w:rPr>
        <w:t>2025</w:t>
      </w:r>
      <w:r w:rsidR="0089680F">
        <w:rPr>
          <w:sz w:val="22"/>
          <w:szCs w:val="22"/>
        </w:rPr>
        <w:t>.”</w:t>
      </w:r>
      <w:r>
        <w:rPr>
          <w:rStyle w:val="FootnoteReference"/>
          <w:sz w:val="22"/>
          <w:szCs w:val="22"/>
        </w:rPr>
        <w:footnoteReference w:id="50"/>
      </w:r>
      <w:bookmarkEnd w:id="22"/>
      <w:r w:rsidR="002B108A">
        <w:rPr>
          <w:sz w:val="22"/>
          <w:szCs w:val="22"/>
        </w:rPr>
        <w:t xml:space="preserve">  </w:t>
      </w:r>
      <w:r w:rsidR="00201433">
        <w:rPr>
          <w:sz w:val="22"/>
          <w:szCs w:val="22"/>
        </w:rPr>
        <w:t>The Senate Finance Committee, in its section-by-section explanation, states, “</w:t>
      </w:r>
      <w:r w:rsidRPr="00201433" w:rsidR="00201433">
        <w:rPr>
          <w:sz w:val="22"/>
          <w:szCs w:val="22"/>
        </w:rPr>
        <w:t>For stock issued after the applicable date, the corporate-level aggregate-asset ceiling is increased to $75 million, indexed to inflation beginning in 2027.</w:t>
      </w:r>
      <w:r w:rsidR="00201433">
        <w:rPr>
          <w:sz w:val="22"/>
          <w:szCs w:val="22"/>
        </w:rPr>
        <w:t>”</w:t>
      </w:r>
      <w:r>
        <w:rPr>
          <w:rStyle w:val="FootnoteReference"/>
          <w:sz w:val="22"/>
          <w:szCs w:val="22"/>
        </w:rPr>
        <w:footnoteReference w:id="51"/>
      </w:r>
      <w:r w:rsidR="00201433">
        <w:rPr>
          <w:sz w:val="22"/>
          <w:szCs w:val="22"/>
        </w:rPr>
        <w:t xml:space="preserve"> </w:t>
      </w:r>
      <w:r w:rsidR="002B108A">
        <w:rPr>
          <w:sz w:val="22"/>
          <w:szCs w:val="22"/>
        </w:rPr>
        <w:t>The discussion points on the inflation adjustmen</w:t>
      </w:r>
      <w:r w:rsidR="00201433">
        <w:rPr>
          <w:sz w:val="22"/>
          <w:szCs w:val="22"/>
        </w:rPr>
        <w:t>t calculation for the Per-Taxpayer Limitation</w:t>
      </w:r>
      <w:r w:rsidR="008B54A4">
        <w:rPr>
          <w:sz w:val="22"/>
          <w:szCs w:val="22"/>
        </w:rPr>
        <w:t xml:space="preserve"> </w:t>
      </w:r>
      <w:r w:rsidR="002B108A">
        <w:rPr>
          <w:sz w:val="22"/>
          <w:szCs w:val="22"/>
        </w:rPr>
        <w:t xml:space="preserve">as written in OBBBA are </w:t>
      </w:r>
      <w:r w:rsidR="008B54A4">
        <w:rPr>
          <w:sz w:val="22"/>
          <w:szCs w:val="22"/>
        </w:rPr>
        <w:t>the same with respect to the inflation adjustment</w:t>
      </w:r>
      <w:r w:rsidR="00201433">
        <w:rPr>
          <w:sz w:val="22"/>
          <w:szCs w:val="22"/>
        </w:rPr>
        <w:t xml:space="preserve"> to the Aggregate Gross Asset Requirement</w:t>
      </w:r>
      <w:r w:rsidR="002B108A">
        <w:rPr>
          <w:sz w:val="22"/>
          <w:szCs w:val="22"/>
        </w:rPr>
        <w:t>.</w:t>
      </w:r>
    </w:p>
    <w:p w:rsidR="009F4147" w:rsidP="009F4147" w14:paraId="3FD5647D" w14:textId="77777777">
      <w:pPr>
        <w:ind w:left="1134" w:right="22"/>
        <w:rPr>
          <w:sz w:val="22"/>
          <w:szCs w:val="22"/>
        </w:rPr>
      </w:pPr>
    </w:p>
    <w:p w:rsidR="000F0908" w:rsidRPr="000F0908" w:rsidP="00201433" w14:paraId="6BFEC28B" w14:textId="67B6BFB8">
      <w:pPr>
        <w:keepNext/>
        <w:keepLines/>
        <w:numPr>
          <w:ilvl w:val="2"/>
          <w:numId w:val="2"/>
        </w:numPr>
        <w:ind w:right="22"/>
        <w:rPr>
          <w:sz w:val="22"/>
          <w:szCs w:val="22"/>
        </w:rPr>
      </w:pPr>
      <w:r>
        <w:rPr>
          <w:sz w:val="22"/>
          <w:szCs w:val="22"/>
        </w:rPr>
        <w:t>Problem/Guidance</w:t>
      </w:r>
    </w:p>
    <w:p w:rsidR="009F4147" w:rsidP="00201433" w14:paraId="5CF822C2" w14:textId="77777777">
      <w:pPr>
        <w:keepNext/>
        <w:keepLines/>
        <w:rPr>
          <w:sz w:val="22"/>
          <w:szCs w:val="22"/>
        </w:rPr>
      </w:pPr>
    </w:p>
    <w:p w:rsidR="005944D9" w:rsidP="00201433" w14:paraId="32D3D058" w14:textId="3943A8CD">
      <w:pPr>
        <w:keepNext/>
        <w:keepLines/>
        <w:ind w:firstLine="720"/>
        <w:rPr>
          <w:sz w:val="22"/>
          <w:szCs w:val="22"/>
        </w:rPr>
      </w:pPr>
      <w:bookmarkStart w:id="23" w:name="_Hlk209104326"/>
      <w:bookmarkStart w:id="24" w:name="_Hlk209366345"/>
      <w:r>
        <w:rPr>
          <w:sz w:val="22"/>
          <w:szCs w:val="22"/>
        </w:rPr>
        <w:t>As written, section 1202(d)(1)(A) provides that in order for a corporation to be considered a QSB, the Aggregate Gross Assets of the corporation “at all times on or after the date of enactment” of section 1202 may not exceed $75 million.  How then should we interpret a situation where prior to the enactment of OBBBA, a C corporation that was a QSB in all other respects except it exceeded the $50 million Aggregate Gross Asset Requirement (e.g., $60  million), but after OBBBA’s enactment did not exceed the new Aggregate Gross Asset Requirement limit of $75 million?  Has the foregoing corporation violated the “at all times” requirement in a manner  that all future issuances of stock from the corporation will not be considered QSBS?  It would seem that given the amended text of section 1202(d)(1)(A) referring back to the date of the original enactment of section 1202 in 1993, the corporation would still be considered a QSB and could issue QSB stock after July 4, 2025 under the new rules of OBBBA.</w:t>
      </w:r>
      <w:bookmarkEnd w:id="23"/>
      <w:bookmarkEnd w:id="24"/>
    </w:p>
    <w:p w:rsidR="005944D9" w:rsidP="001516DC" w14:paraId="467712AB" w14:textId="77777777">
      <w:pPr>
        <w:ind w:firstLine="720"/>
        <w:rPr>
          <w:sz w:val="22"/>
          <w:szCs w:val="22"/>
        </w:rPr>
      </w:pPr>
    </w:p>
    <w:p w:rsidR="001516DC" w:rsidP="001516DC" w14:paraId="4CF6326D" w14:textId="73AF99C9">
      <w:pPr>
        <w:ind w:firstLine="720"/>
        <w:rPr>
          <w:sz w:val="22"/>
          <w:szCs w:val="22"/>
        </w:rPr>
      </w:pPr>
      <w:bookmarkStart w:id="25" w:name="_Hlk209104338"/>
      <w:r>
        <w:rPr>
          <w:sz w:val="22"/>
          <w:szCs w:val="22"/>
        </w:rPr>
        <w:t>In the foregoing example, what if after exceeding the $50 million Aggregate Gross Asset Requirement (e.g., $60 million)</w:t>
      </w:r>
      <w:r w:rsidR="008B54A4">
        <w:rPr>
          <w:sz w:val="22"/>
          <w:szCs w:val="22"/>
        </w:rPr>
        <w:t>,</w:t>
      </w:r>
      <w:r>
        <w:rPr>
          <w:sz w:val="22"/>
          <w:szCs w:val="22"/>
        </w:rPr>
        <w:t xml:space="preserve"> but prior to July 4, 2025, the corporation issued shares to an investor?  What is the treatment of those shares?  Under the old rules those shares would not have been considered QSBS.  It would seem that since the effective date of the OBBBA amendments “</w:t>
      </w:r>
      <w:r w:rsidRPr="00DC793A">
        <w:rPr>
          <w:sz w:val="22"/>
          <w:szCs w:val="22"/>
        </w:rPr>
        <w:t>apply to stock issued after</w:t>
      </w:r>
      <w:r>
        <w:rPr>
          <w:sz w:val="22"/>
          <w:szCs w:val="22"/>
        </w:rPr>
        <w:t xml:space="preserve"> </w:t>
      </w:r>
      <w:r w:rsidRPr="00DC793A">
        <w:rPr>
          <w:sz w:val="22"/>
          <w:szCs w:val="22"/>
        </w:rPr>
        <w:t>the date of the enactment</w:t>
      </w:r>
      <w:r>
        <w:rPr>
          <w:sz w:val="22"/>
          <w:szCs w:val="22"/>
        </w:rPr>
        <w:t>,” then these shares would not be considered QSBS, notwithstanding the reference back to 1993.  A contrary interpretation could be since section 1202(d)(1)(A) refers back to the date of the original enactment of section 1202, these latter issued shares could nonetheless be considered QSBS after the enactment of OBBBA.</w:t>
      </w:r>
      <w:bookmarkEnd w:id="25"/>
    </w:p>
    <w:p w:rsidR="000F0908" w:rsidP="000F0908" w14:paraId="483EF91C" w14:textId="77777777">
      <w:pPr>
        <w:ind w:firstLine="720"/>
        <w:rPr>
          <w:sz w:val="22"/>
          <w:szCs w:val="22"/>
        </w:rPr>
      </w:pPr>
    </w:p>
    <w:p w:rsidR="009F4147" w14:paraId="2B1EF05E" w14:textId="08769110">
      <w:pPr>
        <w:numPr>
          <w:ilvl w:val="2"/>
          <w:numId w:val="2"/>
        </w:numPr>
        <w:ind w:right="22"/>
        <w:rPr>
          <w:sz w:val="22"/>
          <w:szCs w:val="22"/>
        </w:rPr>
      </w:pPr>
      <w:r>
        <w:rPr>
          <w:sz w:val="22"/>
          <w:szCs w:val="22"/>
        </w:rPr>
        <w:t>Solution</w:t>
      </w:r>
    </w:p>
    <w:p w:rsidR="00FC206F" w:rsidRPr="00FC206F" w:rsidP="00FC206F" w14:paraId="17F6D45D" w14:textId="77777777">
      <w:pPr>
        <w:pStyle w:val="ListParagraph"/>
        <w:ind w:left="0" w:right="22"/>
        <w:rPr>
          <w:sz w:val="22"/>
          <w:szCs w:val="22"/>
        </w:rPr>
      </w:pPr>
    </w:p>
    <w:p w:rsidR="00FC206F" w:rsidRPr="0096477F" w:rsidP="0096477F" w14:paraId="5C4A3149" w14:textId="24AFD6C9">
      <w:pPr>
        <w:pStyle w:val="ListParagraph"/>
        <w:ind w:left="0" w:right="22" w:firstLine="720"/>
        <w:rPr>
          <w:sz w:val="22"/>
          <w:szCs w:val="22"/>
        </w:rPr>
      </w:pPr>
      <w:r w:rsidRPr="00FC206F">
        <w:rPr>
          <w:sz w:val="22"/>
          <w:szCs w:val="22"/>
        </w:rPr>
        <w:t>We respectfully request the following:</w:t>
      </w:r>
    </w:p>
    <w:p w:rsidR="002B108A" w:rsidP="002B108A" w14:paraId="5A612372" w14:textId="77777777">
      <w:pPr>
        <w:pStyle w:val="ListParagraph"/>
        <w:ind w:left="1080" w:right="22"/>
        <w:rPr>
          <w:sz w:val="22"/>
          <w:szCs w:val="22"/>
        </w:rPr>
      </w:pPr>
    </w:p>
    <w:p w:rsidR="002B108A" w:rsidP="00FC206F" w14:paraId="0E1873B0" w14:textId="2726CCAB">
      <w:pPr>
        <w:pStyle w:val="ListParagraph"/>
        <w:numPr>
          <w:ilvl w:val="0"/>
          <w:numId w:val="11"/>
        </w:numPr>
        <w:ind w:right="22"/>
        <w:rPr>
          <w:sz w:val="22"/>
          <w:szCs w:val="22"/>
        </w:rPr>
      </w:pPr>
      <w:r>
        <w:rPr>
          <w:sz w:val="22"/>
          <w:szCs w:val="22"/>
        </w:rPr>
        <w:t>Provide guidance or make a</w:t>
      </w:r>
      <w:r w:rsidRPr="009A50D2">
        <w:rPr>
          <w:sz w:val="22"/>
          <w:szCs w:val="22"/>
        </w:rPr>
        <w:t xml:space="preserve"> technical correction to section 70431</w:t>
      </w:r>
      <w:r>
        <w:rPr>
          <w:sz w:val="22"/>
          <w:szCs w:val="22"/>
        </w:rPr>
        <w:t xml:space="preserve">(c)(2) of OBBBA in a manner that makes clear that the inflation adjustment in 1202(d)(4) provides for either: (i) no inflation adjustment in 2026, but starting in 2027, the inflation adjustment to the Aggregate Gross Asset Requirement will be increased from $75 million to a number that includes the aggregate amount of inflation adjustments for calendar years 2025 </w:t>
      </w:r>
      <w:r w:rsidRPr="00A91786">
        <w:rPr>
          <w:sz w:val="22"/>
          <w:szCs w:val="22"/>
          <w:u w:val="single"/>
        </w:rPr>
        <w:t>and</w:t>
      </w:r>
      <w:r>
        <w:rPr>
          <w:sz w:val="22"/>
          <w:szCs w:val="22"/>
        </w:rPr>
        <w:t xml:space="preserve"> 2026 (a 2-year inflation  adjustment); (ii) a 1-year inflation adjustment calculated from the beginning of 2025 that would be effective at the beginning of 2026; or (iii) no inflation adjustment in 2026 but provid</w:t>
      </w:r>
      <w:r w:rsidR="008B54A4">
        <w:rPr>
          <w:sz w:val="22"/>
          <w:szCs w:val="22"/>
        </w:rPr>
        <w:t>ing</w:t>
      </w:r>
      <w:r>
        <w:rPr>
          <w:sz w:val="22"/>
          <w:szCs w:val="22"/>
        </w:rPr>
        <w:t xml:space="preserve"> a 1-year inflation adjustment calculated from the beginning of 2026 that would be effective at the beginning of 2027.</w:t>
      </w:r>
    </w:p>
    <w:p w:rsidR="003C38A5" w:rsidP="003C38A5" w14:paraId="6BB407B2" w14:textId="77777777">
      <w:pPr>
        <w:pStyle w:val="ListParagraph"/>
        <w:ind w:left="1080" w:right="22"/>
        <w:rPr>
          <w:sz w:val="22"/>
          <w:szCs w:val="22"/>
        </w:rPr>
      </w:pPr>
    </w:p>
    <w:p w:rsidR="00FC206F" w:rsidP="00FC206F" w14:paraId="734A6185" w14:textId="1117683F">
      <w:pPr>
        <w:pStyle w:val="ListParagraph"/>
        <w:numPr>
          <w:ilvl w:val="0"/>
          <w:numId w:val="11"/>
        </w:numPr>
        <w:ind w:right="22"/>
        <w:rPr>
          <w:sz w:val="22"/>
          <w:szCs w:val="22"/>
        </w:rPr>
      </w:pPr>
      <w:bookmarkStart w:id="26" w:name="_Hlk209366419"/>
      <w:r>
        <w:rPr>
          <w:sz w:val="22"/>
          <w:szCs w:val="22"/>
        </w:rPr>
        <w:t xml:space="preserve">Confirm that the $75 million Aggregate Gross Asset Requirement correctly refers back to the date of enactment and not the acquisition date of the QSB shares.  As such, </w:t>
      </w:r>
      <w:r w:rsidR="008B54A4">
        <w:rPr>
          <w:sz w:val="22"/>
          <w:szCs w:val="22"/>
        </w:rPr>
        <w:t xml:space="preserve">a </w:t>
      </w:r>
      <w:r>
        <w:rPr>
          <w:sz w:val="22"/>
          <w:szCs w:val="22"/>
        </w:rPr>
        <w:t xml:space="preserve">corporation that might have exceeded the Aggregate Gross Asset Requirement under pre-OBBBA rules ($50 million) will continue to be a QSB, </w:t>
      </w:r>
      <w:r w:rsidR="008B54A4">
        <w:rPr>
          <w:sz w:val="22"/>
          <w:szCs w:val="22"/>
        </w:rPr>
        <w:t>provided that it</w:t>
      </w:r>
      <w:r>
        <w:rPr>
          <w:sz w:val="22"/>
          <w:szCs w:val="22"/>
        </w:rPr>
        <w:t xml:space="preserve"> qualif</w:t>
      </w:r>
      <w:r w:rsidR="008B54A4">
        <w:rPr>
          <w:sz w:val="22"/>
          <w:szCs w:val="22"/>
        </w:rPr>
        <w:t>ies</w:t>
      </w:r>
      <w:r>
        <w:rPr>
          <w:sz w:val="22"/>
          <w:szCs w:val="22"/>
        </w:rPr>
        <w:t xml:space="preserve"> under the post-OBBBA requirements.</w:t>
      </w:r>
      <w:bookmarkEnd w:id="26"/>
    </w:p>
    <w:p w:rsidR="003C38A5" w:rsidRPr="003C38A5" w:rsidP="003C38A5" w14:paraId="736E2942" w14:textId="77777777">
      <w:pPr>
        <w:pStyle w:val="ListParagraph"/>
        <w:rPr>
          <w:sz w:val="22"/>
          <w:szCs w:val="22"/>
        </w:rPr>
      </w:pPr>
    </w:p>
    <w:p w:rsidR="0096477F" w:rsidP="0096477F" w14:paraId="7C69D3D5" w14:textId="6CCB2A60">
      <w:pPr>
        <w:pStyle w:val="ListParagraph"/>
        <w:numPr>
          <w:ilvl w:val="0"/>
          <w:numId w:val="11"/>
        </w:numPr>
        <w:ind w:right="22"/>
        <w:rPr>
          <w:sz w:val="22"/>
          <w:szCs w:val="22"/>
        </w:rPr>
      </w:pPr>
      <w:bookmarkStart w:id="27" w:name="_Hlk209366428"/>
      <w:r>
        <w:rPr>
          <w:sz w:val="22"/>
          <w:szCs w:val="22"/>
        </w:rPr>
        <w:t>Clarify the treatment of</w:t>
      </w:r>
      <w:r w:rsidR="003C38A5">
        <w:rPr>
          <w:sz w:val="22"/>
          <w:szCs w:val="22"/>
        </w:rPr>
        <w:t xml:space="preserve"> </w:t>
      </w:r>
      <w:r w:rsidRPr="003C38A5" w:rsidR="003C38A5">
        <w:rPr>
          <w:sz w:val="22"/>
          <w:szCs w:val="22"/>
        </w:rPr>
        <w:t>shares acquired prior to enactment of OBBBA</w:t>
      </w:r>
      <w:r>
        <w:rPr>
          <w:sz w:val="22"/>
          <w:szCs w:val="22"/>
        </w:rPr>
        <w:t>, which when issued would</w:t>
      </w:r>
      <w:r w:rsidRPr="003C38A5" w:rsidR="003C38A5">
        <w:rPr>
          <w:sz w:val="22"/>
          <w:szCs w:val="22"/>
        </w:rPr>
        <w:t xml:space="preserve"> not have been considered QSBS </w:t>
      </w:r>
      <w:r>
        <w:rPr>
          <w:sz w:val="22"/>
          <w:szCs w:val="22"/>
        </w:rPr>
        <w:t>because it failed the Aggregate Gross Asset Requirement</w:t>
      </w:r>
      <w:r w:rsidR="00B63083">
        <w:rPr>
          <w:sz w:val="22"/>
          <w:szCs w:val="22"/>
        </w:rPr>
        <w:t>,</w:t>
      </w:r>
      <w:r>
        <w:rPr>
          <w:sz w:val="22"/>
          <w:szCs w:val="22"/>
        </w:rPr>
        <w:t xml:space="preserve"> but which would qualify under the post-OBBBA definition of the Aggregate Gross Asset Requirement.</w:t>
      </w:r>
    </w:p>
    <w:p w:rsidR="00963E81" w:rsidP="009F4147" w14:paraId="1B8786DD" w14:textId="77777777">
      <w:pPr>
        <w:ind w:right="22"/>
        <w:rPr>
          <w:sz w:val="22"/>
          <w:szCs w:val="22"/>
        </w:rPr>
      </w:pPr>
      <w:bookmarkStart w:id="28" w:name="_Hlk208675142"/>
      <w:bookmarkEnd w:id="27"/>
    </w:p>
    <w:bookmarkEnd w:id="28"/>
    <w:p w:rsidR="00580F31" w:rsidP="00FE79AA" w14:paraId="477A8668" w14:textId="77777777">
      <w:pPr>
        <w:ind w:left="1134" w:right="22"/>
        <w:rPr>
          <w:sz w:val="22"/>
          <w:szCs w:val="22"/>
        </w:rPr>
      </w:pPr>
    </w:p>
    <w:sectPr w:rsidSect="008F6897">
      <w:headerReference w:type="default" r:id="rId6"/>
      <w:footerReference w:type="even" r:id="rId7"/>
      <w:footerReference w:type="default" r:id="rId8"/>
      <w:pgSz w:w="12242" w:h="15842" w:code="1"/>
      <w:pgMar w:top="1440" w:right="1800" w:bottom="1440" w:left="1800"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Frutiger-BoldCn">
    <w:altName w:val="Calibri"/>
    <w:panose1 w:val="00000000000000000000"/>
    <w:charset w:val="4D"/>
    <w:family w:val="auto"/>
    <w:notTrueType/>
    <w:pitch w:val="default"/>
    <w:sig w:usb0="00000003" w:usb1="00000000" w:usb2="00000000" w:usb3="00000000" w:csb0="00000001" w:csb1="00000000"/>
  </w:font>
  <w:font w:name="Bembo-Italic">
    <w:altName w:val="Bemb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Vinne">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E09" w14:paraId="353E8A50" w14:textId="2FCCA486">
    <w:pPr>
      <w:pStyle w:val="Footer"/>
      <w:jc w:val="center"/>
    </w:pPr>
    <w:sdt>
      <w:sdtPr>
        <w:rPr>
          <w:noProof/>
        </w:rPr>
        <w:id w:val="92923251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10</w:t>
        </w:r>
        <w:r>
          <w:rPr>
            <w:noProof/>
          </w:rPr>
          <w:fldChar w:fldCharType="end"/>
        </w:r>
      </w:sdtContent>
    </w:sdt>
  </w:p>
  <w:p w:rsidR="00B44E09" w:rsidRPr="004238DA" w:rsidP="004238DA" w14:paraId="3B4CFF0C" w14:textId="1EABC957">
    <w:pPr>
      <w:pStyle w:val="Footer"/>
      <w:jc w:val="left"/>
      <w:rPr>
        <w:color w:val="2F4F4F"/>
        <w:sz w:val="20"/>
      </w:rPr>
    </w:pPr>
    <w:r>
      <w:rPr>
        <w:color w:val="2F4F4F"/>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E09" w14:paraId="42ED7048" w14:textId="58D06B11">
    <w:pPr>
      <w:pStyle w:val="Footer"/>
      <w:jc w:val="center"/>
    </w:pPr>
    <w:sdt>
      <w:sdtPr>
        <w:rPr>
          <w:noProof/>
        </w:rPr>
        <w:id w:val="-105538069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11</w:t>
        </w:r>
        <w:r>
          <w:rPr>
            <w:noProof/>
          </w:rPr>
          <w:fldChar w:fldCharType="end"/>
        </w:r>
      </w:sdtContent>
    </w:sdt>
  </w:p>
  <w:p w:rsidR="00B44E09" w:rsidRPr="004238DA" w:rsidP="004238DA" w14:paraId="29F940BE" w14:textId="6042FA31">
    <w:pPr>
      <w:pStyle w:val="Footer"/>
      <w:jc w:val="left"/>
      <w:rPr>
        <w:color w:val="2F4F4F"/>
        <w:sz w:val="20"/>
      </w:rPr>
    </w:pPr>
    <w:r>
      <w:rPr>
        <w:color w:val="2F4F4F"/>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C3092" w14:paraId="2022542B" w14:textId="77777777">
      <w:r>
        <w:separator/>
      </w:r>
    </w:p>
  </w:footnote>
  <w:footnote w:type="continuationSeparator" w:id="1">
    <w:p w:rsidR="000C3092" w14:paraId="0A5514E9" w14:textId="77777777">
      <w:r>
        <w:continuationSeparator/>
      </w:r>
    </w:p>
  </w:footnote>
  <w:footnote w:id="2">
    <w:p w:rsidR="00600CFE" w:rsidP="00600CFE" w14:paraId="41347EDF" w14:textId="77777777">
      <w:pPr>
        <w:pStyle w:val="FootnoteText"/>
      </w:pPr>
      <w:r>
        <w:rPr>
          <w:rStyle w:val="FootnoteReference"/>
        </w:rPr>
        <w:footnoteRef/>
      </w:r>
      <w:r>
        <w:t xml:space="preserve"> </w:t>
      </w:r>
      <w:r w:rsidRPr="008340AF">
        <w:t>Omnibus Budget Reconciliation Act of 1993</w:t>
      </w:r>
      <w:r>
        <w:t>, P.L. 103-66, more commonly referred to as the “Revenue Reconciliation Act of 1993.”</w:t>
      </w:r>
    </w:p>
  </w:footnote>
  <w:footnote w:id="3">
    <w:p w:rsidR="00600CFE" w14:paraId="6DFC5289" w14:textId="55B83379">
      <w:pPr>
        <w:pStyle w:val="FootnoteText"/>
      </w:pPr>
      <w:r>
        <w:rPr>
          <w:rStyle w:val="FootnoteReference"/>
        </w:rPr>
        <w:footnoteRef/>
      </w:r>
      <w:r>
        <w:t xml:space="preserve"> </w:t>
      </w:r>
      <w:r w:rsidRPr="00435F52" w:rsidR="00435F52">
        <w:rPr>
          <w:i/>
          <w:iCs/>
        </w:rPr>
        <w:t>See</w:t>
      </w:r>
      <w:r w:rsidR="00435F52">
        <w:t xml:space="preserve"> notably, </w:t>
      </w:r>
      <w:r>
        <w:t xml:space="preserve">American Recovery &amp; Reinvestment Act of 2009, P.L. 111-5, </w:t>
      </w:r>
      <w:r w:rsidR="00435F52">
        <w:t>Creating Small Business Jobs Act of 2010, P.L. 111-240</w:t>
      </w:r>
      <w:r w:rsidR="002D1024">
        <w:t>,</w:t>
      </w:r>
      <w:r w:rsidRPr="002D1024" w:rsidR="002D1024">
        <w:t xml:space="preserve"> and Consolidated Appropriations Act of 2016, P.L. 114-113</w:t>
      </w:r>
      <w:r w:rsidR="002D1024">
        <w:t>.</w:t>
      </w:r>
    </w:p>
  </w:footnote>
  <w:footnote w:id="4">
    <w:p w:rsidR="00F859F6" w:rsidP="00F859F6" w14:paraId="2946BF08" w14:textId="1413E48D">
      <w:pPr>
        <w:pStyle w:val="FootnoteText"/>
      </w:pPr>
      <w:r>
        <w:rPr>
          <w:rStyle w:val="FootnoteReference"/>
        </w:rPr>
        <w:footnoteRef/>
      </w:r>
      <w:r>
        <w:t xml:space="preserve"> P.L. 119-21</w:t>
      </w:r>
      <w:r w:rsidR="00590857">
        <w:t>.</w:t>
      </w:r>
      <w:r w:rsidRPr="00A566B3" w:rsidR="00A566B3">
        <w:t xml:space="preserve"> </w:t>
      </w:r>
      <w:r w:rsidR="00590857">
        <w:t xml:space="preserve"> </w:t>
      </w:r>
      <w:r w:rsidRPr="00A566B3" w:rsidR="00A566B3">
        <w:t>The Senate parliamentarian removed the short title “</w:t>
      </w:r>
      <w:r w:rsidR="00590857">
        <w:t>One Big Beautiful Bill Act</w:t>
      </w:r>
      <w:r w:rsidRPr="00A566B3" w:rsidR="00A566B3">
        <w:t xml:space="preserve">” as extraneous.  Hereinafter, P.L. </w:t>
      </w:r>
      <w:r w:rsidR="00590857">
        <w:t xml:space="preserve">119-21 </w:t>
      </w:r>
      <w:r w:rsidRPr="00A566B3" w:rsidR="00A566B3">
        <w:t>will nonetheless be referred to as the “</w:t>
      </w:r>
      <w:r w:rsidR="00590857">
        <w:t>One Big Beautiful Bill Act</w:t>
      </w:r>
      <w:r w:rsidRPr="00A566B3" w:rsidR="00A566B3">
        <w:t>” or “</w:t>
      </w:r>
      <w:r w:rsidR="00590857">
        <w:t>OBBBA</w:t>
      </w:r>
      <w:r w:rsidRPr="00A566B3" w:rsidR="00A566B3">
        <w:t>.”</w:t>
      </w:r>
    </w:p>
  </w:footnote>
  <w:footnote w:id="5">
    <w:p w:rsidR="009C7A94" w14:paraId="2AE98035" w14:textId="0529C13C">
      <w:pPr>
        <w:pStyle w:val="FootnoteText"/>
      </w:pPr>
      <w:r>
        <w:rPr>
          <w:rStyle w:val="FootnoteReference"/>
        </w:rPr>
        <w:footnoteRef/>
      </w:r>
      <w:r>
        <w:t xml:space="preserve"> § 70431 of OBBBA</w:t>
      </w:r>
      <w:r w:rsidR="001128A3">
        <w:t>.</w:t>
      </w:r>
    </w:p>
  </w:footnote>
  <w:footnote w:id="6">
    <w:p w:rsidR="00EE7DDF" w:rsidRPr="007839E1" w:rsidP="00EE7DDF" w14:paraId="38E3AB6B" w14:textId="0717EF2D">
      <w:pPr>
        <w:pStyle w:val="FootnoteText"/>
      </w:pPr>
      <w:r>
        <w:rPr>
          <w:rStyle w:val="FootnoteReference"/>
        </w:rPr>
        <w:footnoteRef/>
      </w:r>
      <w:r>
        <w:t xml:space="preserve"> § 70431(c)(2) of OBBBA makes the change to</w:t>
      </w:r>
      <w:r w:rsidRPr="002B5301">
        <w:t xml:space="preserve"> section 1(f)(d) from “calendar year 2016” to “calendar years 2025.”</w:t>
      </w:r>
      <w:r>
        <w:t xml:space="preserve"> § 1202(d)(4)(B) (after technical correction)</w:t>
      </w:r>
      <w:r w:rsidR="00085AFC">
        <w:t xml:space="preserve"> </w:t>
      </w:r>
      <w:r w:rsidRPr="00F859F6" w:rsidR="00085AFC">
        <w:t>of the Internal Revenue Code of 1986, as amended (the “Code”).  Hereinafter, all section references denoted by the symbol §</w:t>
      </w:r>
      <w:r w:rsidR="00085AFC">
        <w:t xml:space="preserve"> or the word “section”</w:t>
      </w:r>
      <w:r w:rsidRPr="00F859F6" w:rsidR="00085AFC">
        <w:t xml:space="preserve"> shall refer to the Code, unless otherwise noted.</w:t>
      </w:r>
    </w:p>
  </w:footnote>
  <w:footnote w:id="7">
    <w:p w:rsidR="00EE7DDF" w:rsidP="00EE7DDF" w14:paraId="1133FD11" w14:textId="77777777">
      <w:pPr>
        <w:pStyle w:val="FootnoteText"/>
      </w:pPr>
      <w:r>
        <w:rPr>
          <w:rStyle w:val="FootnoteReference"/>
        </w:rPr>
        <w:footnoteRef/>
      </w:r>
      <w:r>
        <w:t xml:space="preserve"> § 70431(c)(2) of OBBBA.  § 70431(c)(1) of OBBBA correctly provides, “IN GENERAL.—Subparagraphs (A) and (B) of section 1202(d)(1) are each amended by striking  ‘$50,000,000’ and inserting “$75,000,000’.”</w:t>
      </w:r>
    </w:p>
  </w:footnote>
  <w:footnote w:id="8">
    <w:p w:rsidR="00560F0C" w14:paraId="4C8EDCD2" w14:textId="7CE5ED8F">
      <w:pPr>
        <w:pStyle w:val="FootnoteText"/>
      </w:pPr>
      <w:r>
        <w:rPr>
          <w:rStyle w:val="FootnoteReference"/>
        </w:rPr>
        <w:footnoteRef/>
      </w:r>
      <w:r>
        <w:t xml:space="preserve"> </w:t>
      </w:r>
      <w:r w:rsidR="0085223D">
        <w:t>§ 1202(a)(5)</w:t>
      </w:r>
      <w:r w:rsidR="00085AFC">
        <w:t>.</w:t>
      </w:r>
    </w:p>
  </w:footnote>
  <w:footnote w:id="9">
    <w:p w:rsidR="0085223D" w14:paraId="1BF57670" w14:textId="782E7217">
      <w:pPr>
        <w:pStyle w:val="FootnoteText"/>
      </w:pPr>
      <w:r>
        <w:rPr>
          <w:rStyle w:val="FootnoteReference"/>
        </w:rPr>
        <w:footnoteRef/>
      </w:r>
      <w:r>
        <w:t xml:space="preserve"> § 1202(a)(6)(A).</w:t>
      </w:r>
    </w:p>
  </w:footnote>
  <w:footnote w:id="10">
    <w:p w:rsidR="00F859F6" w14:paraId="3494D4FD" w14:textId="53977B88">
      <w:pPr>
        <w:pStyle w:val="FootnoteText"/>
      </w:pPr>
      <w:r>
        <w:rPr>
          <w:rStyle w:val="FootnoteReference"/>
        </w:rPr>
        <w:footnoteRef/>
      </w:r>
      <w:r>
        <w:t xml:space="preserve"> § </w:t>
      </w:r>
      <w:r w:rsidRPr="00F859F6">
        <w:t>1202(a)(6)(B)</w:t>
      </w:r>
      <w:r>
        <w:t>.</w:t>
      </w:r>
    </w:p>
  </w:footnote>
  <w:footnote w:id="11">
    <w:p w:rsidR="00D46B3C" w14:paraId="06904D01" w14:textId="2AF97DCA">
      <w:pPr>
        <w:pStyle w:val="FootnoteText"/>
      </w:pPr>
      <w:r>
        <w:rPr>
          <w:rStyle w:val="FootnoteReference"/>
        </w:rPr>
        <w:footnoteRef/>
      </w:r>
      <w:r>
        <w:t xml:space="preserve"> </w:t>
      </w:r>
      <w:r w:rsidRPr="00E45CBB">
        <w:rPr>
          <w:i/>
          <w:iCs/>
        </w:rPr>
        <w:t>See</w:t>
      </w:r>
      <w:r>
        <w:t xml:space="preserve"> § 1202(d)(</w:t>
      </w:r>
      <w:r w:rsidR="00F859F6">
        <w:t>1</w:t>
      </w:r>
      <w:r>
        <w:t>).</w:t>
      </w:r>
    </w:p>
  </w:footnote>
  <w:footnote w:id="12">
    <w:p w:rsidR="00D46B3C" w14:paraId="7B01801D" w14:textId="65B756DB">
      <w:pPr>
        <w:pStyle w:val="FootnoteText"/>
      </w:pPr>
      <w:r>
        <w:rPr>
          <w:rStyle w:val="FootnoteReference"/>
        </w:rPr>
        <w:footnoteRef/>
      </w:r>
      <w:r>
        <w:t xml:space="preserve"> </w:t>
      </w:r>
      <w:r w:rsidRPr="00D46B3C">
        <w:rPr>
          <w:i/>
          <w:iCs/>
        </w:rPr>
        <w:t>See</w:t>
      </w:r>
      <w:r>
        <w:t xml:space="preserve"> § 1202(c)(1)(B).</w:t>
      </w:r>
    </w:p>
  </w:footnote>
  <w:footnote w:id="13">
    <w:p w:rsidR="007A1328" w:rsidP="007A1328" w14:paraId="05C1D1CD" w14:textId="77777777">
      <w:pPr>
        <w:pStyle w:val="FootnoteText"/>
      </w:pPr>
      <w:r>
        <w:rPr>
          <w:rStyle w:val="FootnoteReference"/>
        </w:rPr>
        <w:footnoteRef/>
      </w:r>
      <w:r>
        <w:t xml:space="preserve"> § 1223(1).</w:t>
      </w:r>
    </w:p>
  </w:footnote>
  <w:footnote w:id="14">
    <w:p w:rsidR="007A1328" w:rsidRPr="00F43D8C" w:rsidP="007A1328" w14:paraId="779A60BD" w14:textId="77777777">
      <w:pPr>
        <w:pStyle w:val="FootnoteText"/>
      </w:pPr>
      <w:r>
        <w:rPr>
          <w:rStyle w:val="FootnoteReference"/>
        </w:rPr>
        <w:footnoteRef/>
      </w:r>
      <w:r w:rsidRPr="00C84E06">
        <w:t xml:space="preserve"> Rev. Rul. 85-164, 1985-2 C.B. 117.  </w:t>
      </w:r>
      <w:r w:rsidRPr="00F43D8C">
        <w:rPr>
          <w:i/>
          <w:iCs/>
        </w:rPr>
        <w:t>See also</w:t>
      </w:r>
      <w:r w:rsidRPr="00F43D8C">
        <w:t xml:space="preserve"> Rev. Rul. 84-111, 1984-2 C</w:t>
      </w:r>
      <w:r>
        <w:t>.B. 88 (</w:t>
      </w:r>
      <w:r w:rsidRPr="00B87EAC">
        <w:t>When multiple assets are contributed in a single transaction, the stock has a split holding period, which is determined based on the relative fair market values of the contributed assets</w:t>
      </w:r>
      <w:r>
        <w:t>.)</w:t>
      </w:r>
    </w:p>
  </w:footnote>
  <w:footnote w:id="15">
    <w:p w:rsidR="007A1328" w:rsidP="007A1328" w14:paraId="787E267F" w14:textId="77777777">
      <w:pPr>
        <w:pStyle w:val="FootnoteText"/>
      </w:pPr>
      <w:r>
        <w:rPr>
          <w:rStyle w:val="FootnoteReference"/>
        </w:rPr>
        <w:footnoteRef/>
      </w:r>
      <w:r>
        <w:t xml:space="preserve"> </w:t>
      </w:r>
      <w:r w:rsidRPr="00ED2201">
        <w:rPr>
          <w:i/>
          <w:iCs/>
        </w:rPr>
        <w:t>See</w:t>
      </w:r>
      <w:r>
        <w:t xml:space="preserve"> § 1223(2).</w:t>
      </w:r>
    </w:p>
  </w:footnote>
  <w:footnote w:id="16">
    <w:p w:rsidR="007A1328" w:rsidP="007A1328" w14:paraId="1A97CF73" w14:textId="77777777">
      <w:pPr>
        <w:pStyle w:val="FootnoteText"/>
      </w:pPr>
      <w:r>
        <w:rPr>
          <w:rStyle w:val="FootnoteReference"/>
        </w:rPr>
        <w:footnoteRef/>
      </w:r>
      <w:r>
        <w:t xml:space="preserve"> </w:t>
      </w:r>
      <w:r w:rsidRPr="00ED2201">
        <w:rPr>
          <w:i/>
          <w:iCs/>
        </w:rPr>
        <w:t>See, e.g.,</w:t>
      </w:r>
      <w:r w:rsidRPr="00ED2201">
        <w:t xml:space="preserve"> </w:t>
      </w:r>
      <w:r w:rsidRPr="00ED2201">
        <w:rPr>
          <w:i/>
          <w:iCs/>
        </w:rPr>
        <w:t>Friedlaender v. Commissioner</w:t>
      </w:r>
      <w:r w:rsidRPr="00ED2201">
        <w:t>, 26 T.C. 1005 (1956)</w:t>
      </w:r>
      <w:r>
        <w:t xml:space="preserve">, </w:t>
      </w:r>
      <w:r w:rsidRPr="00733589">
        <w:rPr>
          <w:i/>
          <w:iCs/>
        </w:rPr>
        <w:t>Girt v. Commissioner</w:t>
      </w:r>
      <w:r w:rsidRPr="00ED2201">
        <w:t>, 20 T.C.M. 1499 (1961) (presence of recently-established customer relationships did not impact overall holding period of goodwill of business)</w:t>
      </w:r>
      <w:r>
        <w:t xml:space="preserve"> and </w:t>
      </w:r>
      <w:r w:rsidRPr="00ED2201">
        <w:t>Treas. Reg. § 1.197-2(b)(1) (defining “goodwill” to include a business’ name or reputation).</w:t>
      </w:r>
    </w:p>
  </w:footnote>
  <w:footnote w:id="17">
    <w:p w:rsidR="007A1328" w:rsidP="007A1328" w14:paraId="2207D69A" w14:textId="77777777">
      <w:pPr>
        <w:pStyle w:val="FootnoteText"/>
      </w:pPr>
      <w:r>
        <w:rPr>
          <w:rStyle w:val="FootnoteReference"/>
        </w:rPr>
        <w:footnoteRef/>
      </w:r>
      <w:r>
        <w:t xml:space="preserve"> </w:t>
      </w:r>
      <w:r w:rsidRPr="007F1AE1">
        <w:t>American Taxpayer Relief Act of 2012</w:t>
      </w:r>
      <w:r>
        <w:t xml:space="preserve">, </w:t>
      </w:r>
      <w:r w:rsidRPr="00B73070">
        <w:t xml:space="preserve">P.L. 112-240, </w:t>
      </w:r>
      <w:r>
        <w:t xml:space="preserve">§ </w:t>
      </w:r>
      <w:r w:rsidRPr="00B73070">
        <w:t>324(b)(1).</w:t>
      </w:r>
    </w:p>
  </w:footnote>
  <w:footnote w:id="18">
    <w:p w:rsidR="007A1328" w:rsidP="007A1328" w14:paraId="21C08DBE" w14:textId="77777777">
      <w:pPr>
        <w:pStyle w:val="FootnoteText"/>
      </w:pPr>
      <w:r>
        <w:rPr>
          <w:rStyle w:val="FootnoteReference"/>
        </w:rPr>
        <w:footnoteRef/>
      </w:r>
      <w:r>
        <w:t xml:space="preserve"> §§ 1202(a)(3) [flush language] and 1202(a)(4)</w:t>
      </w:r>
      <w:r w:rsidRPr="001C67A1">
        <w:t xml:space="preserve"> </w:t>
      </w:r>
      <w:r>
        <w:t>[flush language].</w:t>
      </w:r>
    </w:p>
  </w:footnote>
  <w:footnote w:id="19">
    <w:p w:rsidR="00FB1967" w:rsidP="00FB1967" w14:paraId="2440E71A" w14:textId="77777777">
      <w:pPr>
        <w:pStyle w:val="FootnoteText"/>
      </w:pPr>
      <w:r>
        <w:rPr>
          <w:rStyle w:val="FootnoteReference"/>
        </w:rPr>
        <w:footnoteRef/>
      </w:r>
      <w:r>
        <w:t xml:space="preserve"> § 1045(b)(4)(A).</w:t>
      </w:r>
    </w:p>
  </w:footnote>
  <w:footnote w:id="20">
    <w:p w:rsidR="007A1328" w:rsidP="007A1328" w14:paraId="5516D844" w14:textId="77777777">
      <w:pPr>
        <w:pStyle w:val="FootnoteText"/>
      </w:pPr>
      <w:r>
        <w:rPr>
          <w:rStyle w:val="FootnoteReference"/>
        </w:rPr>
        <w:footnoteRef/>
      </w:r>
      <w:r w:rsidRPr="00B73070">
        <w:t xml:space="preserve"> </w:t>
      </w:r>
      <w:r>
        <w:t>§ 1223(13).</w:t>
      </w:r>
    </w:p>
  </w:footnote>
  <w:footnote w:id="21">
    <w:p w:rsidR="007A1328" w:rsidP="007A1328" w14:paraId="68738084" w14:textId="77777777">
      <w:pPr>
        <w:pStyle w:val="FootnoteText"/>
      </w:pPr>
      <w:r>
        <w:rPr>
          <w:rStyle w:val="FootnoteReference"/>
        </w:rPr>
        <w:footnoteRef/>
      </w:r>
      <w:r>
        <w:t xml:space="preserve"> § 1223(1).</w:t>
      </w:r>
    </w:p>
  </w:footnote>
  <w:footnote w:id="22">
    <w:p w:rsidR="00657BD1" w:rsidP="00657BD1" w14:paraId="322D355B" w14:textId="77777777">
      <w:pPr>
        <w:pStyle w:val="FootnoteText"/>
      </w:pPr>
      <w:r>
        <w:rPr>
          <w:rStyle w:val="FootnoteReference"/>
        </w:rPr>
        <w:footnoteRef/>
      </w:r>
      <w:r>
        <w:t xml:space="preserve"> § 1202(i)(1) and (1)(A).</w:t>
      </w:r>
    </w:p>
  </w:footnote>
  <w:footnote w:id="23">
    <w:p w:rsidR="00657BD1" w:rsidP="00657BD1" w14:paraId="0B64B8A8" w14:textId="77777777">
      <w:pPr>
        <w:pStyle w:val="FootnoteText"/>
      </w:pPr>
      <w:r>
        <w:rPr>
          <w:rStyle w:val="FootnoteReference"/>
        </w:rPr>
        <w:footnoteRef/>
      </w:r>
      <w:r>
        <w:t xml:space="preserve"> § 1202(i).</w:t>
      </w:r>
    </w:p>
  </w:footnote>
  <w:footnote w:id="24">
    <w:p w:rsidR="00657BD1" w:rsidP="00657BD1" w14:paraId="320CBB48" w14:textId="77777777">
      <w:pPr>
        <w:pStyle w:val="FootnoteText"/>
      </w:pPr>
      <w:r>
        <w:rPr>
          <w:rStyle w:val="FootnoteReference"/>
        </w:rPr>
        <w:footnoteRef/>
      </w:r>
      <w:r>
        <w:t xml:space="preserve"> </w:t>
      </w:r>
      <w:r w:rsidRPr="007F1AE1">
        <w:t>American Taxpayer Relief Act of 2012</w:t>
      </w:r>
      <w:r>
        <w:t xml:space="preserve">, </w:t>
      </w:r>
      <w:r w:rsidRPr="00B73070">
        <w:t xml:space="preserve">P.L. 112-240, </w:t>
      </w:r>
      <w:r>
        <w:t xml:space="preserve">§ </w:t>
      </w:r>
      <w:r w:rsidRPr="00B73070">
        <w:t>324(b)(1).</w:t>
      </w:r>
    </w:p>
  </w:footnote>
  <w:footnote w:id="25">
    <w:p w:rsidR="00657BD1" w:rsidP="00657BD1" w14:paraId="211C8AFE" w14:textId="77777777">
      <w:pPr>
        <w:pStyle w:val="FootnoteText"/>
      </w:pPr>
      <w:r>
        <w:rPr>
          <w:rStyle w:val="FootnoteReference"/>
        </w:rPr>
        <w:footnoteRef/>
      </w:r>
      <w:r>
        <w:t xml:space="preserve"> Janet Andolina and Kelsey Lemaster, </w:t>
      </w:r>
      <w:r w:rsidRPr="00A3080A">
        <w:rPr>
          <w:i/>
        </w:rPr>
        <w:t>Candy Land or Sorry: Thoughts on Qualified Small Business Stock</w:t>
      </w:r>
      <w:r>
        <w:t>, Tax Notes (Jan. 8, 2018), p. 205.</w:t>
      </w:r>
    </w:p>
  </w:footnote>
  <w:footnote w:id="26">
    <w:p w:rsidR="00657BD1" w:rsidP="00657BD1" w14:paraId="5F0CE752" w14:textId="77777777">
      <w:pPr>
        <w:pStyle w:val="FootnoteText"/>
      </w:pPr>
      <w:r>
        <w:rPr>
          <w:rStyle w:val="FootnoteReference"/>
        </w:rPr>
        <w:footnoteRef/>
      </w:r>
      <w:r>
        <w:t xml:space="preserve"> S. Rep. No. 112-208, at 67-69 (2012) (the Senate’s version of the eventual bill was the Family and Business Tax Cut Certainty Act of 2012).</w:t>
      </w:r>
    </w:p>
  </w:footnote>
  <w:footnote w:id="27">
    <w:p w:rsidR="00657BD1" w:rsidP="00657BD1" w14:paraId="0D1325B6" w14:textId="77777777">
      <w:pPr>
        <w:pStyle w:val="FootnoteText"/>
      </w:pPr>
      <w:r>
        <w:rPr>
          <w:rStyle w:val="FootnoteReference"/>
        </w:rPr>
        <w:footnoteRef/>
      </w:r>
      <w:r>
        <w:t xml:space="preserve"> JCT, </w:t>
      </w:r>
      <w:r w:rsidRPr="00C1425B">
        <w:rPr>
          <w:i/>
        </w:rPr>
        <w:t>General Explanation of Tax Legislation Enacted in the 112th Congress</w:t>
      </w:r>
      <w:r>
        <w:t>, JCS-2-13 (Feb. 2013), p. 185, fn. 490.</w:t>
      </w:r>
    </w:p>
  </w:footnote>
  <w:footnote w:id="28">
    <w:p w:rsidR="00657BD1" w:rsidP="00657BD1" w14:paraId="329A6054" w14:textId="77777777">
      <w:pPr>
        <w:pStyle w:val="FootnoteText"/>
      </w:pPr>
      <w:r>
        <w:rPr>
          <w:rStyle w:val="FootnoteReference"/>
        </w:rPr>
        <w:footnoteRef/>
      </w:r>
      <w:r>
        <w:t xml:space="preserve"> Janet Andolina and Kelsey Lemaster, </w:t>
      </w:r>
      <w:r w:rsidRPr="00A3080A">
        <w:rPr>
          <w:i/>
        </w:rPr>
        <w:t>Candy Land or Sorry: Thoughts on Qualified Small Business Stock</w:t>
      </w:r>
      <w:r>
        <w:t xml:space="preserve">, Tax Notes (Jan. 8, 2018), p. 223.  </w:t>
      </w:r>
      <w:r w:rsidRPr="009E38FF">
        <w:rPr>
          <w:i/>
          <w:iCs/>
        </w:rPr>
        <w:t>See also</w:t>
      </w:r>
      <w:r>
        <w:t xml:space="preserve"> Senate Finance Committee, </w:t>
      </w:r>
      <w:r w:rsidRPr="009E38FF">
        <w:rPr>
          <w:i/>
          <w:iCs/>
        </w:rPr>
        <w:t>Summary of Provisions in The American Taxpayer Relief Act of 2012</w:t>
      </w:r>
      <w:r>
        <w:t xml:space="preserve">, p. 12, “The bill  also clarifies that in the case of stock acquired after February 17, 2009, and before January 1, 2014, </w:t>
      </w:r>
      <w:r w:rsidRPr="009E38FF">
        <w:rPr>
          <w:i/>
          <w:iCs/>
        </w:rPr>
        <w:t>the date of acquisition for purposes of determining the percentage exclusion is the date the holding period for the stock begins</w:t>
      </w:r>
      <w:r>
        <w:t>.” [emphasis added]).  The latter provision is no longer needed, because, as noted above, the 100% exclusion was made permanent in 2015.</w:t>
      </w:r>
    </w:p>
  </w:footnote>
  <w:footnote w:id="29">
    <w:p w:rsidR="000E3DFC" w:rsidP="000E3DFC" w14:paraId="184DEE9D" w14:textId="77777777">
      <w:pPr>
        <w:pStyle w:val="FootnoteText"/>
      </w:pPr>
      <w:r>
        <w:rPr>
          <w:rStyle w:val="FootnoteReference"/>
        </w:rPr>
        <w:footnoteRef/>
      </w:r>
      <w:r>
        <w:t xml:space="preserve"> § 1202(b)(4)(A) and (B).</w:t>
      </w:r>
    </w:p>
  </w:footnote>
  <w:footnote w:id="30">
    <w:p w:rsidR="00097253" w:rsidP="00097253" w14:paraId="127EECB2" w14:textId="77777777">
      <w:pPr>
        <w:pStyle w:val="FootnoteText"/>
      </w:pPr>
      <w:r>
        <w:rPr>
          <w:rStyle w:val="FootnoteReference"/>
        </w:rPr>
        <w:footnoteRef/>
      </w:r>
      <w:r>
        <w:t xml:space="preserve"> § 1202(b)(2).  Subsection (a) of section 1202 sets out the percentage exclusion available on the sale of stock by a taxpayer other than a corporation and mirrors, but does not reference, the definition of “eligible gain” (any gain from the sale or exchange of qualified small business stock held for more than 5 years).  </w:t>
      </w:r>
    </w:p>
  </w:footnote>
  <w:footnote w:id="31">
    <w:p w:rsidR="000E3DFC" w:rsidP="000E3DFC" w14:paraId="642D7090" w14:textId="77777777">
      <w:pPr>
        <w:pStyle w:val="FootnoteText"/>
      </w:pPr>
      <w:r>
        <w:rPr>
          <w:rStyle w:val="FootnoteReference"/>
        </w:rPr>
        <w:footnoteRef/>
      </w:r>
      <w:r>
        <w:t xml:space="preserve"> § 1202(b)(1).</w:t>
      </w:r>
    </w:p>
  </w:footnote>
  <w:footnote w:id="32">
    <w:p w:rsidR="000E3DFC" w:rsidP="000E3DFC" w14:paraId="3FC2D7F9" w14:textId="77777777">
      <w:pPr>
        <w:pStyle w:val="FootnoteText"/>
      </w:pPr>
      <w:r>
        <w:rPr>
          <w:rStyle w:val="FootnoteReference"/>
        </w:rPr>
        <w:footnoteRef/>
      </w:r>
      <w:r>
        <w:t xml:space="preserve"> § 1202(b)(1)(A).</w:t>
      </w:r>
    </w:p>
  </w:footnote>
  <w:footnote w:id="33">
    <w:p w:rsidR="000E3DFC" w:rsidP="000E3DFC" w14:paraId="1E7BDD7F" w14:textId="77777777">
      <w:pPr>
        <w:pStyle w:val="FootnoteText"/>
      </w:pPr>
      <w:r>
        <w:rPr>
          <w:rStyle w:val="FootnoteReference"/>
        </w:rPr>
        <w:footnoteRef/>
      </w:r>
      <w:r>
        <w:t xml:space="preserve"> § 1202(b)(1)(B).</w:t>
      </w:r>
    </w:p>
  </w:footnote>
  <w:footnote w:id="34">
    <w:p w:rsidR="000E3DFC" w:rsidP="000E3DFC" w14:paraId="7A96F2F3" w14:textId="77777777">
      <w:pPr>
        <w:pStyle w:val="FootnoteText"/>
      </w:pPr>
      <w:r>
        <w:rPr>
          <w:rStyle w:val="FootnoteReference"/>
        </w:rPr>
        <w:footnoteRef/>
      </w:r>
      <w:r>
        <w:t xml:space="preserve"> § 1202(b)(4)(A).</w:t>
      </w:r>
    </w:p>
  </w:footnote>
  <w:footnote w:id="35">
    <w:p w:rsidR="000E3DFC" w:rsidP="000E3DFC" w14:paraId="3082C1F1" w14:textId="77777777">
      <w:pPr>
        <w:pStyle w:val="FootnoteText"/>
      </w:pPr>
      <w:r>
        <w:rPr>
          <w:rStyle w:val="FootnoteReference"/>
        </w:rPr>
        <w:footnoteRef/>
      </w:r>
      <w:r>
        <w:t xml:space="preserve"> § 1202(b)(4)(B).</w:t>
      </w:r>
    </w:p>
  </w:footnote>
  <w:footnote w:id="36">
    <w:p w:rsidR="000E3DFC" w:rsidP="000E3DFC" w14:paraId="29AA7EB8" w14:textId="77777777">
      <w:pPr>
        <w:pStyle w:val="FootnoteText"/>
      </w:pPr>
      <w:r>
        <w:rPr>
          <w:rStyle w:val="FootnoteReference"/>
        </w:rPr>
        <w:footnoteRef/>
      </w:r>
      <w:r>
        <w:t xml:space="preserve"> § 1202(b)(4)(B)(i).</w:t>
      </w:r>
    </w:p>
  </w:footnote>
  <w:footnote w:id="37">
    <w:p w:rsidR="000E3DFC" w:rsidP="000E3DFC" w14:paraId="4C0696A2" w14:textId="77777777">
      <w:pPr>
        <w:pStyle w:val="FootnoteText"/>
      </w:pPr>
      <w:r>
        <w:rPr>
          <w:rStyle w:val="FootnoteReference"/>
        </w:rPr>
        <w:footnoteRef/>
      </w:r>
      <w:r>
        <w:t xml:space="preserve"> § 1202(b)(4)(B)(ii).</w:t>
      </w:r>
    </w:p>
  </w:footnote>
  <w:footnote w:id="38">
    <w:p w:rsidR="00F54A28" w14:paraId="4BBAF455" w14:textId="664DB0FC">
      <w:pPr>
        <w:pStyle w:val="FootnoteText"/>
      </w:pPr>
      <w:r>
        <w:rPr>
          <w:rStyle w:val="FootnoteReference"/>
        </w:rPr>
        <w:footnoteRef/>
      </w:r>
      <w:r>
        <w:t xml:space="preserve"> § 70431(b)(</w:t>
      </w:r>
      <w:r w:rsidR="00A521B7">
        <w:t>2</w:t>
      </w:r>
      <w:r>
        <w:t>) of OBBBA</w:t>
      </w:r>
      <w:r w:rsidR="00163F75">
        <w:t xml:space="preserve"> (emphasis added).</w:t>
      </w:r>
    </w:p>
  </w:footnote>
  <w:footnote w:id="39">
    <w:p w:rsidR="00BD7B5D" w:rsidP="00BD7B5D" w14:paraId="4ABB8C0E" w14:textId="77FB47EF">
      <w:pPr>
        <w:pStyle w:val="FootnoteText"/>
      </w:pPr>
      <w:r>
        <w:rPr>
          <w:rStyle w:val="FootnoteReference"/>
        </w:rPr>
        <w:footnoteRef/>
      </w:r>
      <w:r>
        <w:t xml:space="preserve"> § 70431(b)(2) of OBBBA (emphasis added) and § </w:t>
      </w:r>
      <w:r w:rsidRPr="00304068">
        <w:t>1202(b)(5)(A)(ii)</w:t>
      </w:r>
      <w:r>
        <w:t>.</w:t>
      </w:r>
    </w:p>
  </w:footnote>
  <w:footnote w:id="40">
    <w:p w:rsidR="00BD7B5D" w14:paraId="5459C965" w14:textId="75BACB18">
      <w:pPr>
        <w:pStyle w:val="FootnoteText"/>
      </w:pPr>
      <w:r>
        <w:rPr>
          <w:rStyle w:val="FootnoteReference"/>
        </w:rPr>
        <w:footnoteRef/>
      </w:r>
      <w:r>
        <w:t xml:space="preserve"> </w:t>
      </w:r>
      <w:r w:rsidR="00946C8A">
        <w:t>Senate Finance Committee Section-By-Section Explanation, p. 27.</w:t>
      </w:r>
    </w:p>
  </w:footnote>
  <w:footnote w:id="41">
    <w:p w:rsidR="00221EE2" w:rsidP="00221EE2" w14:paraId="482EF8B6" w14:textId="608832A8">
      <w:pPr>
        <w:pStyle w:val="FootnoteText"/>
      </w:pPr>
      <w:r>
        <w:rPr>
          <w:rStyle w:val="FootnoteReference"/>
        </w:rPr>
        <w:footnoteRef/>
      </w:r>
      <w:r>
        <w:t xml:space="preserve"> § 1202(b)(5)(B)</w:t>
      </w:r>
      <w:r w:rsidR="00163F75">
        <w:t xml:space="preserve"> (emphasis added)</w:t>
      </w:r>
      <w:r>
        <w:t>.</w:t>
      </w:r>
    </w:p>
  </w:footnote>
  <w:footnote w:id="42">
    <w:p w:rsidR="002E7431" w14:paraId="6CD8090B" w14:textId="2E1BE1BA">
      <w:pPr>
        <w:pStyle w:val="FootnoteText"/>
      </w:pPr>
      <w:r>
        <w:rPr>
          <w:rStyle w:val="FootnoteReference"/>
        </w:rPr>
        <w:footnoteRef/>
      </w:r>
      <w:r>
        <w:t xml:space="preserve"> § 1202(b)(5).</w:t>
      </w:r>
    </w:p>
  </w:footnote>
  <w:footnote w:id="43">
    <w:p w:rsidR="00705DD3" w:rsidP="00705DD3" w14:paraId="590D4ECD" w14:textId="6949F499">
      <w:pPr>
        <w:pStyle w:val="FootnoteText"/>
      </w:pPr>
      <w:r>
        <w:rPr>
          <w:rStyle w:val="FootnoteReference"/>
        </w:rPr>
        <w:footnoteRef/>
      </w:r>
      <w:r>
        <w:t xml:space="preserve"> § 70431(c) of OBBBA and § 1202(d)</w:t>
      </w:r>
      <w:r w:rsidR="0096477F">
        <w:t>(</w:t>
      </w:r>
      <w:r>
        <w:t>1) (after technical correction).</w:t>
      </w:r>
    </w:p>
  </w:footnote>
  <w:footnote w:id="44">
    <w:p w:rsidR="009F4147" w:rsidP="009F4147" w14:paraId="70200A52" w14:textId="453905BF">
      <w:pPr>
        <w:pStyle w:val="FootnoteText"/>
      </w:pPr>
      <w:r>
        <w:rPr>
          <w:rStyle w:val="FootnoteReference"/>
        </w:rPr>
        <w:footnoteRef/>
      </w:r>
      <w:r>
        <w:t xml:space="preserve"> </w:t>
      </w:r>
      <w:r w:rsidR="002B5301">
        <w:t>§ 70431(</w:t>
      </w:r>
      <w:r w:rsidR="00705DD3">
        <w:t>c</w:t>
      </w:r>
      <w:r w:rsidR="002B5301">
        <w:t>)(1) of OBBBA</w:t>
      </w:r>
      <w:r w:rsidR="00C82296">
        <w:t>.</w:t>
      </w:r>
    </w:p>
  </w:footnote>
  <w:footnote w:id="45">
    <w:p w:rsidR="00C82296" w14:paraId="1785AB0C" w14:textId="23FFD415">
      <w:pPr>
        <w:pStyle w:val="FootnoteText"/>
      </w:pPr>
      <w:r>
        <w:rPr>
          <w:rStyle w:val="FootnoteReference"/>
        </w:rPr>
        <w:footnoteRef/>
      </w:r>
      <w:r>
        <w:t xml:space="preserve"> § 1202(d)(1)(A).</w:t>
      </w:r>
    </w:p>
  </w:footnote>
  <w:footnote w:id="46">
    <w:p w:rsidR="00C82296" w14:paraId="05D10EF7" w14:textId="2877E14D">
      <w:pPr>
        <w:pStyle w:val="FootnoteText"/>
      </w:pPr>
      <w:r>
        <w:rPr>
          <w:rStyle w:val="FootnoteReference"/>
        </w:rPr>
        <w:footnoteRef/>
      </w:r>
      <w:r>
        <w:t xml:space="preserve"> § 1202(d)(1)(B).</w:t>
      </w:r>
    </w:p>
  </w:footnote>
  <w:footnote w:id="47">
    <w:p w:rsidR="00C82296" w14:paraId="5E4D3767" w14:textId="1A0B1F3E">
      <w:pPr>
        <w:pStyle w:val="FootnoteText"/>
      </w:pPr>
      <w:r>
        <w:rPr>
          <w:rStyle w:val="FootnoteReference"/>
        </w:rPr>
        <w:footnoteRef/>
      </w:r>
      <w:r>
        <w:t xml:space="preserve"> § 1202(d)(1)(C).</w:t>
      </w:r>
    </w:p>
  </w:footnote>
  <w:footnote w:id="48">
    <w:p w:rsidR="004D6A24" w:rsidP="004D6A24" w14:paraId="3D885F83" w14:textId="77777777">
      <w:pPr>
        <w:pStyle w:val="FootnoteText"/>
      </w:pPr>
      <w:r>
        <w:rPr>
          <w:rStyle w:val="FootnoteReference"/>
        </w:rPr>
        <w:footnoteRef/>
      </w:r>
      <w:r>
        <w:t xml:space="preserve"> § 70431(c)(3) of OBBBA.</w:t>
      </w:r>
    </w:p>
  </w:footnote>
  <w:footnote w:id="49">
    <w:p w:rsidR="007839E1" w:rsidP="007839E1" w14:paraId="53F9A96A" w14:textId="77777777">
      <w:pPr>
        <w:pStyle w:val="FootnoteText"/>
      </w:pPr>
      <w:r>
        <w:rPr>
          <w:rStyle w:val="FootnoteReference"/>
        </w:rPr>
        <w:footnoteRef/>
      </w:r>
      <w:r>
        <w:t xml:space="preserve"> § 70431(b)(1) of OBBBA.</w:t>
      </w:r>
    </w:p>
  </w:footnote>
  <w:footnote w:id="50">
    <w:p w:rsidR="0089680F" w:rsidP="0089680F" w14:paraId="08F5EF9A" w14:textId="77777777">
      <w:pPr>
        <w:pStyle w:val="FootnoteText"/>
      </w:pPr>
      <w:r>
        <w:rPr>
          <w:rStyle w:val="FootnoteReference"/>
        </w:rPr>
        <w:footnoteRef/>
      </w:r>
      <w:r>
        <w:t xml:space="preserve"> § 70431(b)(2) of OBBBA (emphasis added) and § </w:t>
      </w:r>
      <w:r w:rsidRPr="00304068">
        <w:t>1202(b)(5)(A)(ii)</w:t>
      </w:r>
      <w:r>
        <w:t>.</w:t>
      </w:r>
    </w:p>
  </w:footnote>
  <w:footnote w:id="51">
    <w:p w:rsidR="00201433" w:rsidP="00201433" w14:paraId="5CD71D0A" w14:textId="77777777">
      <w:pPr>
        <w:pStyle w:val="FootnoteText"/>
      </w:pPr>
      <w:r>
        <w:rPr>
          <w:rStyle w:val="FootnoteReference"/>
        </w:rPr>
        <w:footnoteRef/>
      </w:r>
      <w:r>
        <w:t xml:space="preserve"> Senate Finance Committee Section-By-Section Explanation, p. 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E09" w:rsidRPr="00B11030" w:rsidP="001F1040" w14:paraId="30460066" w14:textId="77777777">
    <w:pPr>
      <w:pStyle w:val="Header"/>
      <w:ind w:right="226"/>
      <w:jc w:val="right"/>
      <w:rPr>
        <w:sz w:val="22"/>
        <w:szCs w:val="22"/>
      </w:rPr>
    </w:pPr>
    <w:r>
      <w:rPr>
        <w:rStyle w:val="PageNumbe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5D1C3E"/>
    <w:multiLevelType w:val="multilevel"/>
    <w:tmpl w:val="CF4E71F4"/>
    <w:lvl w:ilvl="0">
      <w:start w:val="1"/>
      <w:numFmt w:val="upperRoman"/>
      <w:lvlText w:val="%1."/>
      <w:lvlJc w:val="left"/>
      <w:pPr>
        <w:tabs>
          <w:tab w:val="num" w:pos="567"/>
        </w:tabs>
        <w:ind w:left="0" w:firstLine="0"/>
      </w:pPr>
      <w:rPr>
        <w:rFonts w:hint="default"/>
      </w:rPr>
    </w:lvl>
    <w:lvl w:ilvl="1">
      <w:start w:val="1"/>
      <w:numFmt w:val="upperLetter"/>
      <w:lvlText w:val="%2."/>
      <w:lvlJc w:val="left"/>
      <w:pPr>
        <w:tabs>
          <w:tab w:val="num" w:pos="1134"/>
        </w:tabs>
        <w:ind w:left="0" w:firstLine="567"/>
      </w:pPr>
      <w:rPr>
        <w:rFonts w:hint="default"/>
      </w:rPr>
    </w:lvl>
    <w:lvl w:ilvl="2">
      <w:start w:val="1"/>
      <w:numFmt w:val="decimal"/>
      <w:lvlText w:val="%3."/>
      <w:lvlJc w:val="left"/>
      <w:pPr>
        <w:tabs>
          <w:tab w:val="num" w:pos="1701"/>
        </w:tabs>
        <w:ind w:left="0" w:firstLine="1134"/>
      </w:pPr>
      <w:rPr>
        <w:rFonts w:hint="default"/>
      </w:rPr>
    </w:lvl>
    <w:lvl w:ilvl="3">
      <w:start w:val="1"/>
      <w:numFmt w:val="lowerLetter"/>
      <w:lvlText w:val="%4."/>
      <w:lvlJc w:val="left"/>
      <w:pPr>
        <w:tabs>
          <w:tab w:val="num" w:pos="2268"/>
        </w:tabs>
        <w:ind w:left="0" w:firstLine="1701"/>
      </w:pPr>
      <w:rPr>
        <w:rFonts w:hint="default"/>
      </w:rPr>
    </w:lvl>
    <w:lvl w:ilvl="4">
      <w:start w:val="1"/>
      <w:numFmt w:val="decimal"/>
      <w:lvlText w:val="(%5)"/>
      <w:lvlJc w:val="left"/>
      <w:pPr>
        <w:tabs>
          <w:tab w:val="num" w:pos="2835"/>
        </w:tabs>
        <w:ind w:left="0" w:firstLine="2268"/>
      </w:pPr>
      <w:rPr>
        <w:rFonts w:hint="default"/>
        <w:u w:val="none"/>
      </w:rPr>
    </w:lvl>
    <w:lvl w:ilvl="5">
      <w:start w:val="1"/>
      <w:numFmt w:val="lowerLetter"/>
      <w:lvlText w:val="(%6)"/>
      <w:lvlJc w:val="left"/>
      <w:pPr>
        <w:tabs>
          <w:tab w:val="num" w:pos="3402"/>
        </w:tabs>
        <w:ind w:left="0" w:firstLine="2835"/>
      </w:pPr>
      <w:rPr>
        <w:rFonts w:hint="default"/>
        <w:color w:val="auto"/>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nsid w:val="01E97EFA"/>
    <w:multiLevelType w:val="hybridMultilevel"/>
    <w:tmpl w:val="1E52860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3632C8D"/>
    <w:multiLevelType w:val="hybridMultilevel"/>
    <w:tmpl w:val="B82ACDC6"/>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
    <w:nsid w:val="1DAB5D0A"/>
    <w:multiLevelType w:val="hybridMultilevel"/>
    <w:tmpl w:val="499C4B7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4">
    <w:nsid w:val="268E412D"/>
    <w:multiLevelType w:val="hybridMultilevel"/>
    <w:tmpl w:val="5BCAD75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ED85048"/>
    <w:multiLevelType w:val="hybridMultilevel"/>
    <w:tmpl w:val="4918936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6">
    <w:nsid w:val="43113702"/>
    <w:multiLevelType w:val="hybridMultilevel"/>
    <w:tmpl w:val="F32EAFF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461E3A29"/>
    <w:multiLevelType w:val="hybridMultilevel"/>
    <w:tmpl w:val="F1E45A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B8C07C8"/>
    <w:multiLevelType w:val="hybridMultilevel"/>
    <w:tmpl w:val="82A0CDF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63AC1449"/>
    <w:multiLevelType w:val="multilevel"/>
    <w:tmpl w:val="AAEE1A40"/>
    <w:lvl w:ilvl="0">
      <w:start w:val="1"/>
      <w:numFmt w:val="upperRoman"/>
      <w:pStyle w:val="OutlineL1"/>
      <w:lvlText w:val="%1."/>
      <w:lvlJc w:val="left"/>
      <w:pPr>
        <w:tabs>
          <w:tab w:val="num" w:pos="720"/>
        </w:tabs>
        <w:ind w:left="0" w:firstLine="0"/>
      </w:pPr>
      <w:rPr>
        <w:b w:val="0"/>
        <w:i w:val="0"/>
        <w:caps/>
        <w:smallCaps w:val="0"/>
        <w:u w:val="none"/>
      </w:rPr>
    </w:lvl>
    <w:lvl w:ilvl="1">
      <w:start w:val="1"/>
      <w:numFmt w:val="upperLetter"/>
      <w:pStyle w:val="OutlineL2"/>
      <w:lvlText w:val="%2."/>
      <w:lvlJc w:val="left"/>
      <w:pPr>
        <w:tabs>
          <w:tab w:val="num" w:pos="1440"/>
        </w:tabs>
        <w:ind w:left="0" w:firstLine="720"/>
      </w:pPr>
      <w:rPr>
        <w:b w:val="0"/>
        <w:i w:val="0"/>
        <w:caps w:val="0"/>
        <w:u w:val="none"/>
      </w:rPr>
    </w:lvl>
    <w:lvl w:ilvl="2">
      <w:start w:val="1"/>
      <w:numFmt w:val="decimal"/>
      <w:pStyle w:val="OutlineL3"/>
      <w:lvlText w:val="%3."/>
      <w:lvlJc w:val="left"/>
      <w:pPr>
        <w:tabs>
          <w:tab w:val="num" w:pos="2160"/>
        </w:tabs>
        <w:ind w:left="0" w:firstLine="1440"/>
      </w:pPr>
      <w:rPr>
        <w:b w:val="0"/>
        <w:i/>
        <w:caps w:val="0"/>
        <w:u w:val="none"/>
      </w:rPr>
    </w:lvl>
    <w:lvl w:ilvl="3">
      <w:start w:val="1"/>
      <w:numFmt w:val="lowerLetter"/>
      <w:pStyle w:val="OutlineL4"/>
      <w:lvlText w:val="%4."/>
      <w:lvlJc w:val="left"/>
      <w:pPr>
        <w:tabs>
          <w:tab w:val="num" w:pos="2880"/>
        </w:tabs>
        <w:ind w:left="0" w:firstLine="2160"/>
      </w:pPr>
      <w:rPr>
        <w:b w:val="0"/>
        <w:i w:val="0"/>
        <w:caps w:val="0"/>
        <w:u w:val="none"/>
      </w:rPr>
    </w:lvl>
    <w:lvl w:ilvl="4">
      <w:start w:val="1"/>
      <w:numFmt w:val="lowerRoman"/>
      <w:pStyle w:val="OutlineL5"/>
      <w:lvlText w:val="(%5)"/>
      <w:lvlJc w:val="left"/>
      <w:pPr>
        <w:tabs>
          <w:tab w:val="num" w:pos="3600"/>
        </w:tabs>
        <w:ind w:left="0" w:firstLine="2880"/>
      </w:pPr>
      <w:rPr>
        <w:b w:val="0"/>
        <w:i w:val="0"/>
        <w:caps w:val="0"/>
        <w:u w:val="none"/>
      </w:rPr>
    </w:lvl>
    <w:lvl w:ilvl="5">
      <w:start w:val="1"/>
      <w:numFmt w:val="lowerLetter"/>
      <w:pStyle w:val="OutlineL6"/>
      <w:lvlText w:val="(%6)"/>
      <w:lvlJc w:val="left"/>
      <w:pPr>
        <w:tabs>
          <w:tab w:val="num" w:pos="4320"/>
        </w:tabs>
        <w:ind w:left="0" w:firstLine="3600"/>
      </w:pPr>
      <w:rPr>
        <w:b w:val="0"/>
        <w:i w:val="0"/>
        <w:caps w:val="0"/>
        <w:u w:val="none"/>
      </w:rPr>
    </w:lvl>
    <w:lvl w:ilvl="6">
      <w:start w:val="1"/>
      <w:numFmt w:val="decimal"/>
      <w:pStyle w:val="OutlineL7"/>
      <w:lvlText w:val="(%7)"/>
      <w:lvlJc w:val="left"/>
      <w:pPr>
        <w:tabs>
          <w:tab w:val="num" w:pos="5040"/>
        </w:tabs>
        <w:ind w:left="0" w:firstLine="4320"/>
      </w:pPr>
      <w:rPr>
        <w:b w:val="0"/>
        <w:i w:val="0"/>
        <w:caps w:val="0"/>
        <w:u w:val="none"/>
      </w:rPr>
    </w:lvl>
    <w:lvl w:ilvl="7">
      <w:start w:val="1"/>
      <w:numFmt w:val="lowerRoman"/>
      <w:pStyle w:val="OutlineL8"/>
      <w:lvlText w:val="%8)"/>
      <w:lvlJc w:val="left"/>
      <w:pPr>
        <w:tabs>
          <w:tab w:val="num" w:pos="5760"/>
        </w:tabs>
        <w:ind w:left="0" w:firstLine="5040"/>
      </w:pPr>
      <w:rPr>
        <w:b w:val="0"/>
        <w:i w:val="0"/>
        <w:caps w:val="0"/>
        <w:u w:val="none"/>
      </w:rPr>
    </w:lvl>
    <w:lvl w:ilvl="8">
      <w:start w:val="1"/>
      <w:numFmt w:val="lowerLetter"/>
      <w:pStyle w:val="OutlineL9"/>
      <w:lvlText w:val="%9)"/>
      <w:lvlJc w:val="left"/>
      <w:pPr>
        <w:tabs>
          <w:tab w:val="num" w:pos="6480"/>
        </w:tabs>
        <w:ind w:left="0" w:firstLine="5760"/>
      </w:pPr>
      <w:rPr>
        <w:b w:val="0"/>
        <w:i w:val="0"/>
        <w:caps w:val="0"/>
        <w:u w:val="none"/>
      </w:rPr>
    </w:lvl>
  </w:abstractNum>
  <w:abstractNum w:abstractNumId="10">
    <w:nsid w:val="72EA4C6C"/>
    <w:multiLevelType w:val="hybridMultilevel"/>
    <w:tmpl w:val="0C1CFE5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2"/>
  </w:num>
  <w:num w:numId="4">
    <w:abstractNumId w:val="5"/>
  </w:num>
  <w:num w:numId="5">
    <w:abstractNumId w:val="1"/>
  </w:num>
  <w:num w:numId="6">
    <w:abstractNumId w:val="3"/>
  </w:num>
  <w:num w:numId="7">
    <w:abstractNumId w:val="10"/>
  </w:num>
  <w:num w:numId="8">
    <w:abstractNumId w:val="8"/>
  </w:num>
  <w:num w:numId="9">
    <w:abstractNumId w:val="6"/>
  </w:num>
  <w:num w:numId="10">
    <w:abstractNumId w:val="7"/>
  </w:num>
  <w:num w:numId="1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evenAndOddHeaders/>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1AA"/>
    <w:rsid w:val="00000031"/>
    <w:rsid w:val="00000074"/>
    <w:rsid w:val="000000C5"/>
    <w:rsid w:val="000001B9"/>
    <w:rsid w:val="00000E7B"/>
    <w:rsid w:val="00001C8B"/>
    <w:rsid w:val="00001E0F"/>
    <w:rsid w:val="00001EAC"/>
    <w:rsid w:val="00001F06"/>
    <w:rsid w:val="00002436"/>
    <w:rsid w:val="0000267F"/>
    <w:rsid w:val="00002B37"/>
    <w:rsid w:val="00002D99"/>
    <w:rsid w:val="000033DF"/>
    <w:rsid w:val="00003431"/>
    <w:rsid w:val="00003A2E"/>
    <w:rsid w:val="00003AE3"/>
    <w:rsid w:val="00003CA2"/>
    <w:rsid w:val="00003D1F"/>
    <w:rsid w:val="00004F00"/>
    <w:rsid w:val="00004F49"/>
    <w:rsid w:val="00004F8F"/>
    <w:rsid w:val="00005624"/>
    <w:rsid w:val="000059BB"/>
    <w:rsid w:val="00005F28"/>
    <w:rsid w:val="000064BF"/>
    <w:rsid w:val="0000698B"/>
    <w:rsid w:val="000072AA"/>
    <w:rsid w:val="000074FD"/>
    <w:rsid w:val="00007872"/>
    <w:rsid w:val="00007958"/>
    <w:rsid w:val="00007FAA"/>
    <w:rsid w:val="000105F8"/>
    <w:rsid w:val="000107A8"/>
    <w:rsid w:val="00010C95"/>
    <w:rsid w:val="00010D53"/>
    <w:rsid w:val="00011314"/>
    <w:rsid w:val="0001142A"/>
    <w:rsid w:val="0001164D"/>
    <w:rsid w:val="00011692"/>
    <w:rsid w:val="000117AD"/>
    <w:rsid w:val="000118AD"/>
    <w:rsid w:val="00012187"/>
    <w:rsid w:val="000121D6"/>
    <w:rsid w:val="0001244E"/>
    <w:rsid w:val="00012A05"/>
    <w:rsid w:val="00012EC5"/>
    <w:rsid w:val="00013119"/>
    <w:rsid w:val="00013482"/>
    <w:rsid w:val="000135D9"/>
    <w:rsid w:val="00013698"/>
    <w:rsid w:val="000145B5"/>
    <w:rsid w:val="000149E4"/>
    <w:rsid w:val="00014BE3"/>
    <w:rsid w:val="00015633"/>
    <w:rsid w:val="00015858"/>
    <w:rsid w:val="00015C09"/>
    <w:rsid w:val="00016126"/>
    <w:rsid w:val="00016824"/>
    <w:rsid w:val="00016F29"/>
    <w:rsid w:val="000170CE"/>
    <w:rsid w:val="000202B5"/>
    <w:rsid w:val="000203CB"/>
    <w:rsid w:val="00020908"/>
    <w:rsid w:val="0002092C"/>
    <w:rsid w:val="00020A5B"/>
    <w:rsid w:val="00020D3E"/>
    <w:rsid w:val="00020FD4"/>
    <w:rsid w:val="00021A4F"/>
    <w:rsid w:val="00021BED"/>
    <w:rsid w:val="00021E19"/>
    <w:rsid w:val="00021EEB"/>
    <w:rsid w:val="00022418"/>
    <w:rsid w:val="000226B9"/>
    <w:rsid w:val="000232FE"/>
    <w:rsid w:val="00023580"/>
    <w:rsid w:val="00023635"/>
    <w:rsid w:val="0002461F"/>
    <w:rsid w:val="00024B13"/>
    <w:rsid w:val="00025EDE"/>
    <w:rsid w:val="00025F26"/>
    <w:rsid w:val="00026632"/>
    <w:rsid w:val="00026682"/>
    <w:rsid w:val="0002685D"/>
    <w:rsid w:val="00026CEE"/>
    <w:rsid w:val="00026FD0"/>
    <w:rsid w:val="00027B73"/>
    <w:rsid w:val="00027E40"/>
    <w:rsid w:val="00030120"/>
    <w:rsid w:val="0003030A"/>
    <w:rsid w:val="00030890"/>
    <w:rsid w:val="00030A3B"/>
    <w:rsid w:val="00030E43"/>
    <w:rsid w:val="00031AFD"/>
    <w:rsid w:val="00031E94"/>
    <w:rsid w:val="00031F11"/>
    <w:rsid w:val="00032483"/>
    <w:rsid w:val="000325C9"/>
    <w:rsid w:val="00033640"/>
    <w:rsid w:val="00033655"/>
    <w:rsid w:val="00033717"/>
    <w:rsid w:val="00033CA0"/>
    <w:rsid w:val="000345DD"/>
    <w:rsid w:val="00035125"/>
    <w:rsid w:val="00035508"/>
    <w:rsid w:val="0003559A"/>
    <w:rsid w:val="00035718"/>
    <w:rsid w:val="000358FE"/>
    <w:rsid w:val="0003606E"/>
    <w:rsid w:val="00036716"/>
    <w:rsid w:val="0003697B"/>
    <w:rsid w:val="00037DA4"/>
    <w:rsid w:val="000408F8"/>
    <w:rsid w:val="00040CFC"/>
    <w:rsid w:val="000410B2"/>
    <w:rsid w:val="000411C9"/>
    <w:rsid w:val="0004141D"/>
    <w:rsid w:val="00041556"/>
    <w:rsid w:val="00041580"/>
    <w:rsid w:val="000420AD"/>
    <w:rsid w:val="000427BD"/>
    <w:rsid w:val="00042B55"/>
    <w:rsid w:val="000432E1"/>
    <w:rsid w:val="000442A5"/>
    <w:rsid w:val="000443F0"/>
    <w:rsid w:val="00044813"/>
    <w:rsid w:val="00044B92"/>
    <w:rsid w:val="000452E6"/>
    <w:rsid w:val="00045871"/>
    <w:rsid w:val="00045AAA"/>
    <w:rsid w:val="00045EFF"/>
    <w:rsid w:val="00046709"/>
    <w:rsid w:val="00046727"/>
    <w:rsid w:val="00046ACB"/>
    <w:rsid w:val="0004763D"/>
    <w:rsid w:val="0004774D"/>
    <w:rsid w:val="00047768"/>
    <w:rsid w:val="00047839"/>
    <w:rsid w:val="00050C15"/>
    <w:rsid w:val="00051023"/>
    <w:rsid w:val="00051249"/>
    <w:rsid w:val="000514DA"/>
    <w:rsid w:val="00051825"/>
    <w:rsid w:val="00051831"/>
    <w:rsid w:val="00051B99"/>
    <w:rsid w:val="0005255F"/>
    <w:rsid w:val="000526B0"/>
    <w:rsid w:val="00052781"/>
    <w:rsid w:val="00052B59"/>
    <w:rsid w:val="000530BA"/>
    <w:rsid w:val="00053747"/>
    <w:rsid w:val="0005378F"/>
    <w:rsid w:val="00053A31"/>
    <w:rsid w:val="00053C41"/>
    <w:rsid w:val="00053DEC"/>
    <w:rsid w:val="00054C57"/>
    <w:rsid w:val="00054FB3"/>
    <w:rsid w:val="0005501A"/>
    <w:rsid w:val="0005516A"/>
    <w:rsid w:val="000554A8"/>
    <w:rsid w:val="00055827"/>
    <w:rsid w:val="0005610A"/>
    <w:rsid w:val="000561D3"/>
    <w:rsid w:val="000564AB"/>
    <w:rsid w:val="0005655D"/>
    <w:rsid w:val="00056D4C"/>
    <w:rsid w:val="00056EE0"/>
    <w:rsid w:val="0005709B"/>
    <w:rsid w:val="000570F4"/>
    <w:rsid w:val="000572ED"/>
    <w:rsid w:val="00057325"/>
    <w:rsid w:val="000578FE"/>
    <w:rsid w:val="00057A4F"/>
    <w:rsid w:val="00057B9F"/>
    <w:rsid w:val="00057EE2"/>
    <w:rsid w:val="00060956"/>
    <w:rsid w:val="00061231"/>
    <w:rsid w:val="000618D0"/>
    <w:rsid w:val="0006193A"/>
    <w:rsid w:val="00061A31"/>
    <w:rsid w:val="00061C44"/>
    <w:rsid w:val="0006244C"/>
    <w:rsid w:val="0006251A"/>
    <w:rsid w:val="00062B52"/>
    <w:rsid w:val="000630E3"/>
    <w:rsid w:val="00063493"/>
    <w:rsid w:val="0006368F"/>
    <w:rsid w:val="00063E08"/>
    <w:rsid w:val="0006433E"/>
    <w:rsid w:val="0006442D"/>
    <w:rsid w:val="000645E8"/>
    <w:rsid w:val="00064D31"/>
    <w:rsid w:val="0006510F"/>
    <w:rsid w:val="00065436"/>
    <w:rsid w:val="000654B5"/>
    <w:rsid w:val="0006553E"/>
    <w:rsid w:val="00066762"/>
    <w:rsid w:val="00066825"/>
    <w:rsid w:val="00066C03"/>
    <w:rsid w:val="00067731"/>
    <w:rsid w:val="0006788D"/>
    <w:rsid w:val="00067915"/>
    <w:rsid w:val="00067BF7"/>
    <w:rsid w:val="00070463"/>
    <w:rsid w:val="00070526"/>
    <w:rsid w:val="000705F9"/>
    <w:rsid w:val="00070A9B"/>
    <w:rsid w:val="00071196"/>
    <w:rsid w:val="000714C2"/>
    <w:rsid w:val="00071656"/>
    <w:rsid w:val="00071930"/>
    <w:rsid w:val="00071C7C"/>
    <w:rsid w:val="00071D96"/>
    <w:rsid w:val="00071E76"/>
    <w:rsid w:val="000720C4"/>
    <w:rsid w:val="00072DDA"/>
    <w:rsid w:val="00073118"/>
    <w:rsid w:val="00073679"/>
    <w:rsid w:val="00073909"/>
    <w:rsid w:val="00073E54"/>
    <w:rsid w:val="00073F5A"/>
    <w:rsid w:val="0007428A"/>
    <w:rsid w:val="00074B96"/>
    <w:rsid w:val="00075782"/>
    <w:rsid w:val="00075BA5"/>
    <w:rsid w:val="00075E06"/>
    <w:rsid w:val="0007605E"/>
    <w:rsid w:val="00076232"/>
    <w:rsid w:val="00076397"/>
    <w:rsid w:val="00076550"/>
    <w:rsid w:val="000770BC"/>
    <w:rsid w:val="0007726B"/>
    <w:rsid w:val="00077299"/>
    <w:rsid w:val="00077338"/>
    <w:rsid w:val="00077449"/>
    <w:rsid w:val="0008001B"/>
    <w:rsid w:val="000801A7"/>
    <w:rsid w:val="00080643"/>
    <w:rsid w:val="000809D2"/>
    <w:rsid w:val="00080B3A"/>
    <w:rsid w:val="0008120E"/>
    <w:rsid w:val="0008125D"/>
    <w:rsid w:val="00081690"/>
    <w:rsid w:val="000823DE"/>
    <w:rsid w:val="00082696"/>
    <w:rsid w:val="00082CB0"/>
    <w:rsid w:val="000834AF"/>
    <w:rsid w:val="000834F4"/>
    <w:rsid w:val="0008358F"/>
    <w:rsid w:val="00083878"/>
    <w:rsid w:val="00083E4D"/>
    <w:rsid w:val="00084316"/>
    <w:rsid w:val="00084AE3"/>
    <w:rsid w:val="00085205"/>
    <w:rsid w:val="0008533E"/>
    <w:rsid w:val="0008536C"/>
    <w:rsid w:val="000854CD"/>
    <w:rsid w:val="000859C9"/>
    <w:rsid w:val="00085AFC"/>
    <w:rsid w:val="00085F14"/>
    <w:rsid w:val="0008605F"/>
    <w:rsid w:val="000862A9"/>
    <w:rsid w:val="000866BC"/>
    <w:rsid w:val="00086FBF"/>
    <w:rsid w:val="00087345"/>
    <w:rsid w:val="00087570"/>
    <w:rsid w:val="00090329"/>
    <w:rsid w:val="00090375"/>
    <w:rsid w:val="000906A5"/>
    <w:rsid w:val="00091046"/>
    <w:rsid w:val="0009140A"/>
    <w:rsid w:val="000915A5"/>
    <w:rsid w:val="000918D0"/>
    <w:rsid w:val="000918F9"/>
    <w:rsid w:val="00091921"/>
    <w:rsid w:val="00091BE2"/>
    <w:rsid w:val="00091E06"/>
    <w:rsid w:val="0009203C"/>
    <w:rsid w:val="000925C8"/>
    <w:rsid w:val="00092C96"/>
    <w:rsid w:val="00092D59"/>
    <w:rsid w:val="0009357E"/>
    <w:rsid w:val="00093AE4"/>
    <w:rsid w:val="000941F0"/>
    <w:rsid w:val="0009466E"/>
    <w:rsid w:val="00094AFE"/>
    <w:rsid w:val="00095269"/>
    <w:rsid w:val="000958A0"/>
    <w:rsid w:val="00095914"/>
    <w:rsid w:val="00095EBD"/>
    <w:rsid w:val="00095F5A"/>
    <w:rsid w:val="000961B9"/>
    <w:rsid w:val="00096896"/>
    <w:rsid w:val="00096B6A"/>
    <w:rsid w:val="00096D30"/>
    <w:rsid w:val="00097023"/>
    <w:rsid w:val="00097253"/>
    <w:rsid w:val="000974A1"/>
    <w:rsid w:val="00097CB4"/>
    <w:rsid w:val="00097DD6"/>
    <w:rsid w:val="00097F70"/>
    <w:rsid w:val="000A029C"/>
    <w:rsid w:val="000A0318"/>
    <w:rsid w:val="000A052F"/>
    <w:rsid w:val="000A06A1"/>
    <w:rsid w:val="000A0876"/>
    <w:rsid w:val="000A0A59"/>
    <w:rsid w:val="000A0D21"/>
    <w:rsid w:val="000A107B"/>
    <w:rsid w:val="000A11BF"/>
    <w:rsid w:val="000A1C90"/>
    <w:rsid w:val="000A1E43"/>
    <w:rsid w:val="000A217C"/>
    <w:rsid w:val="000A236F"/>
    <w:rsid w:val="000A26D8"/>
    <w:rsid w:val="000A35C8"/>
    <w:rsid w:val="000A3C63"/>
    <w:rsid w:val="000A3DF4"/>
    <w:rsid w:val="000A3ECF"/>
    <w:rsid w:val="000A4183"/>
    <w:rsid w:val="000A4253"/>
    <w:rsid w:val="000A4465"/>
    <w:rsid w:val="000A4658"/>
    <w:rsid w:val="000A483B"/>
    <w:rsid w:val="000A4BC8"/>
    <w:rsid w:val="000A4D6E"/>
    <w:rsid w:val="000A4E4E"/>
    <w:rsid w:val="000A4F6E"/>
    <w:rsid w:val="000A59F1"/>
    <w:rsid w:val="000A5C72"/>
    <w:rsid w:val="000A603D"/>
    <w:rsid w:val="000A619F"/>
    <w:rsid w:val="000A671B"/>
    <w:rsid w:val="000A6A2E"/>
    <w:rsid w:val="000A6CED"/>
    <w:rsid w:val="000A6D38"/>
    <w:rsid w:val="000A79F2"/>
    <w:rsid w:val="000A7F11"/>
    <w:rsid w:val="000A7F4F"/>
    <w:rsid w:val="000B01A7"/>
    <w:rsid w:val="000B01D4"/>
    <w:rsid w:val="000B086D"/>
    <w:rsid w:val="000B08AB"/>
    <w:rsid w:val="000B0B99"/>
    <w:rsid w:val="000B0CE7"/>
    <w:rsid w:val="000B1272"/>
    <w:rsid w:val="000B12FA"/>
    <w:rsid w:val="000B1327"/>
    <w:rsid w:val="000B1BF5"/>
    <w:rsid w:val="000B2106"/>
    <w:rsid w:val="000B26A1"/>
    <w:rsid w:val="000B28B8"/>
    <w:rsid w:val="000B2C8C"/>
    <w:rsid w:val="000B2E47"/>
    <w:rsid w:val="000B3386"/>
    <w:rsid w:val="000B3FE9"/>
    <w:rsid w:val="000B468F"/>
    <w:rsid w:val="000B4B1B"/>
    <w:rsid w:val="000B4D3F"/>
    <w:rsid w:val="000B539E"/>
    <w:rsid w:val="000B59C2"/>
    <w:rsid w:val="000B59E0"/>
    <w:rsid w:val="000B5C2D"/>
    <w:rsid w:val="000B5C81"/>
    <w:rsid w:val="000B6576"/>
    <w:rsid w:val="000B65EF"/>
    <w:rsid w:val="000B6C39"/>
    <w:rsid w:val="000B6CD4"/>
    <w:rsid w:val="000B6E0F"/>
    <w:rsid w:val="000B6E30"/>
    <w:rsid w:val="000B703B"/>
    <w:rsid w:val="000B708F"/>
    <w:rsid w:val="000B7105"/>
    <w:rsid w:val="000B79B3"/>
    <w:rsid w:val="000B7ACF"/>
    <w:rsid w:val="000B7D00"/>
    <w:rsid w:val="000B7E37"/>
    <w:rsid w:val="000C0597"/>
    <w:rsid w:val="000C06CB"/>
    <w:rsid w:val="000C0801"/>
    <w:rsid w:val="000C09F6"/>
    <w:rsid w:val="000C1A20"/>
    <w:rsid w:val="000C1E7F"/>
    <w:rsid w:val="000C1FD4"/>
    <w:rsid w:val="000C2455"/>
    <w:rsid w:val="000C29E7"/>
    <w:rsid w:val="000C2A1A"/>
    <w:rsid w:val="000C3092"/>
    <w:rsid w:val="000C311B"/>
    <w:rsid w:val="000C3427"/>
    <w:rsid w:val="000C381E"/>
    <w:rsid w:val="000C39D7"/>
    <w:rsid w:val="000C3B91"/>
    <w:rsid w:val="000C4340"/>
    <w:rsid w:val="000C49DA"/>
    <w:rsid w:val="000C4BD4"/>
    <w:rsid w:val="000C4BFA"/>
    <w:rsid w:val="000C4C96"/>
    <w:rsid w:val="000C5478"/>
    <w:rsid w:val="000C5AFA"/>
    <w:rsid w:val="000C618C"/>
    <w:rsid w:val="000C61C8"/>
    <w:rsid w:val="000C64C0"/>
    <w:rsid w:val="000C665D"/>
    <w:rsid w:val="000C6A73"/>
    <w:rsid w:val="000C7A78"/>
    <w:rsid w:val="000C7C90"/>
    <w:rsid w:val="000C7D3C"/>
    <w:rsid w:val="000C7F83"/>
    <w:rsid w:val="000D0088"/>
    <w:rsid w:val="000D0B23"/>
    <w:rsid w:val="000D1705"/>
    <w:rsid w:val="000D17F7"/>
    <w:rsid w:val="000D1823"/>
    <w:rsid w:val="000D2530"/>
    <w:rsid w:val="000D2766"/>
    <w:rsid w:val="000D27D6"/>
    <w:rsid w:val="000D2859"/>
    <w:rsid w:val="000D2BC7"/>
    <w:rsid w:val="000D3005"/>
    <w:rsid w:val="000D3701"/>
    <w:rsid w:val="000D4C52"/>
    <w:rsid w:val="000D4EEA"/>
    <w:rsid w:val="000D526E"/>
    <w:rsid w:val="000D59CD"/>
    <w:rsid w:val="000D5AF7"/>
    <w:rsid w:val="000D644C"/>
    <w:rsid w:val="000D6E4D"/>
    <w:rsid w:val="000D721A"/>
    <w:rsid w:val="000D732F"/>
    <w:rsid w:val="000D7420"/>
    <w:rsid w:val="000D770E"/>
    <w:rsid w:val="000D7776"/>
    <w:rsid w:val="000D7E45"/>
    <w:rsid w:val="000E0054"/>
    <w:rsid w:val="000E01D8"/>
    <w:rsid w:val="000E06AB"/>
    <w:rsid w:val="000E07D5"/>
    <w:rsid w:val="000E07E1"/>
    <w:rsid w:val="000E0CF9"/>
    <w:rsid w:val="000E1372"/>
    <w:rsid w:val="000E1525"/>
    <w:rsid w:val="000E2009"/>
    <w:rsid w:val="000E2701"/>
    <w:rsid w:val="000E281D"/>
    <w:rsid w:val="000E2A7E"/>
    <w:rsid w:val="000E30F1"/>
    <w:rsid w:val="000E335B"/>
    <w:rsid w:val="000E385D"/>
    <w:rsid w:val="000E3AA6"/>
    <w:rsid w:val="000E3DFC"/>
    <w:rsid w:val="000E3F01"/>
    <w:rsid w:val="000E4A5C"/>
    <w:rsid w:val="000E4A8B"/>
    <w:rsid w:val="000E5517"/>
    <w:rsid w:val="000E5A2A"/>
    <w:rsid w:val="000E5B64"/>
    <w:rsid w:val="000E5F0F"/>
    <w:rsid w:val="000E64AC"/>
    <w:rsid w:val="000E6820"/>
    <w:rsid w:val="000E6829"/>
    <w:rsid w:val="000E693B"/>
    <w:rsid w:val="000E6FA0"/>
    <w:rsid w:val="000E7A37"/>
    <w:rsid w:val="000F051D"/>
    <w:rsid w:val="000F079C"/>
    <w:rsid w:val="000F0908"/>
    <w:rsid w:val="000F0FAC"/>
    <w:rsid w:val="000F153C"/>
    <w:rsid w:val="000F1570"/>
    <w:rsid w:val="000F183B"/>
    <w:rsid w:val="000F1885"/>
    <w:rsid w:val="000F1AD2"/>
    <w:rsid w:val="000F220B"/>
    <w:rsid w:val="000F2D44"/>
    <w:rsid w:val="000F2E8A"/>
    <w:rsid w:val="000F3376"/>
    <w:rsid w:val="000F3FEE"/>
    <w:rsid w:val="000F4016"/>
    <w:rsid w:val="000F4432"/>
    <w:rsid w:val="000F4F31"/>
    <w:rsid w:val="000F54D8"/>
    <w:rsid w:val="000F553E"/>
    <w:rsid w:val="000F585E"/>
    <w:rsid w:val="000F60B2"/>
    <w:rsid w:val="000F63E1"/>
    <w:rsid w:val="000F6486"/>
    <w:rsid w:val="000F694C"/>
    <w:rsid w:val="000F7155"/>
    <w:rsid w:val="000F7C2E"/>
    <w:rsid w:val="00100140"/>
    <w:rsid w:val="001002CE"/>
    <w:rsid w:val="00100AC4"/>
    <w:rsid w:val="00100C9A"/>
    <w:rsid w:val="00100D43"/>
    <w:rsid w:val="00100D66"/>
    <w:rsid w:val="00101633"/>
    <w:rsid w:val="00101872"/>
    <w:rsid w:val="001019DA"/>
    <w:rsid w:val="001026CE"/>
    <w:rsid w:val="001027B8"/>
    <w:rsid w:val="001028F0"/>
    <w:rsid w:val="0010294E"/>
    <w:rsid w:val="00102E48"/>
    <w:rsid w:val="00103D65"/>
    <w:rsid w:val="00104A78"/>
    <w:rsid w:val="00104B31"/>
    <w:rsid w:val="00104F83"/>
    <w:rsid w:val="001051FB"/>
    <w:rsid w:val="00105302"/>
    <w:rsid w:val="001056BF"/>
    <w:rsid w:val="001056E4"/>
    <w:rsid w:val="00105A0D"/>
    <w:rsid w:val="00106424"/>
    <w:rsid w:val="00106D6D"/>
    <w:rsid w:val="00106E9E"/>
    <w:rsid w:val="0010732A"/>
    <w:rsid w:val="00107587"/>
    <w:rsid w:val="0010770C"/>
    <w:rsid w:val="001079BB"/>
    <w:rsid w:val="001079CC"/>
    <w:rsid w:val="001079FB"/>
    <w:rsid w:val="001109D9"/>
    <w:rsid w:val="00110A99"/>
    <w:rsid w:val="00111386"/>
    <w:rsid w:val="00111593"/>
    <w:rsid w:val="001115CC"/>
    <w:rsid w:val="001119AB"/>
    <w:rsid w:val="00111A58"/>
    <w:rsid w:val="00111A5F"/>
    <w:rsid w:val="00111CA3"/>
    <w:rsid w:val="0011220E"/>
    <w:rsid w:val="0011242B"/>
    <w:rsid w:val="001124CA"/>
    <w:rsid w:val="0011253F"/>
    <w:rsid w:val="00112762"/>
    <w:rsid w:val="001128A3"/>
    <w:rsid w:val="00112FF5"/>
    <w:rsid w:val="001136C0"/>
    <w:rsid w:val="0011420E"/>
    <w:rsid w:val="001144AC"/>
    <w:rsid w:val="00114821"/>
    <w:rsid w:val="001148B5"/>
    <w:rsid w:val="00114A41"/>
    <w:rsid w:val="00114A85"/>
    <w:rsid w:val="00115821"/>
    <w:rsid w:val="0011598E"/>
    <w:rsid w:val="00115C08"/>
    <w:rsid w:val="00115E76"/>
    <w:rsid w:val="00115EF5"/>
    <w:rsid w:val="00116193"/>
    <w:rsid w:val="001168A5"/>
    <w:rsid w:val="001174F2"/>
    <w:rsid w:val="00117BBD"/>
    <w:rsid w:val="001202B8"/>
    <w:rsid w:val="00120498"/>
    <w:rsid w:val="001215D6"/>
    <w:rsid w:val="00121624"/>
    <w:rsid w:val="00121985"/>
    <w:rsid w:val="00121C95"/>
    <w:rsid w:val="00121D0A"/>
    <w:rsid w:val="001222DD"/>
    <w:rsid w:val="001222E5"/>
    <w:rsid w:val="001224E3"/>
    <w:rsid w:val="00122C35"/>
    <w:rsid w:val="00122E1F"/>
    <w:rsid w:val="001230E9"/>
    <w:rsid w:val="001232E1"/>
    <w:rsid w:val="001234EE"/>
    <w:rsid w:val="001237A4"/>
    <w:rsid w:val="001237E0"/>
    <w:rsid w:val="001239B2"/>
    <w:rsid w:val="00123B83"/>
    <w:rsid w:val="0012401B"/>
    <w:rsid w:val="00124147"/>
    <w:rsid w:val="0012416B"/>
    <w:rsid w:val="00124872"/>
    <w:rsid w:val="00124A29"/>
    <w:rsid w:val="00124C87"/>
    <w:rsid w:val="001254C3"/>
    <w:rsid w:val="001256EF"/>
    <w:rsid w:val="00125C5E"/>
    <w:rsid w:val="00126722"/>
    <w:rsid w:val="001268CB"/>
    <w:rsid w:val="00126A34"/>
    <w:rsid w:val="00127213"/>
    <w:rsid w:val="001300BF"/>
    <w:rsid w:val="001305E0"/>
    <w:rsid w:val="00130728"/>
    <w:rsid w:val="00130743"/>
    <w:rsid w:val="00130928"/>
    <w:rsid w:val="0013094F"/>
    <w:rsid w:val="001317C9"/>
    <w:rsid w:val="0013189D"/>
    <w:rsid w:val="001318EA"/>
    <w:rsid w:val="00131F5E"/>
    <w:rsid w:val="00132C2A"/>
    <w:rsid w:val="00132E67"/>
    <w:rsid w:val="001330B4"/>
    <w:rsid w:val="001333DE"/>
    <w:rsid w:val="00133D1E"/>
    <w:rsid w:val="0013425D"/>
    <w:rsid w:val="00134890"/>
    <w:rsid w:val="00134E84"/>
    <w:rsid w:val="00134F51"/>
    <w:rsid w:val="001351A9"/>
    <w:rsid w:val="00135F29"/>
    <w:rsid w:val="00136BAB"/>
    <w:rsid w:val="001377BB"/>
    <w:rsid w:val="00137F30"/>
    <w:rsid w:val="00137F90"/>
    <w:rsid w:val="00140401"/>
    <w:rsid w:val="00140518"/>
    <w:rsid w:val="001407D3"/>
    <w:rsid w:val="00140BE2"/>
    <w:rsid w:val="00140E93"/>
    <w:rsid w:val="00140F07"/>
    <w:rsid w:val="00141214"/>
    <w:rsid w:val="00141826"/>
    <w:rsid w:val="0014189B"/>
    <w:rsid w:val="00141B28"/>
    <w:rsid w:val="00141BCA"/>
    <w:rsid w:val="00141E33"/>
    <w:rsid w:val="001430BF"/>
    <w:rsid w:val="0014324E"/>
    <w:rsid w:val="00143830"/>
    <w:rsid w:val="001438E8"/>
    <w:rsid w:val="00143A5C"/>
    <w:rsid w:val="00143B4B"/>
    <w:rsid w:val="001443C9"/>
    <w:rsid w:val="00144AA4"/>
    <w:rsid w:val="00144F68"/>
    <w:rsid w:val="001452AA"/>
    <w:rsid w:val="0014543D"/>
    <w:rsid w:val="0014568F"/>
    <w:rsid w:val="001457A3"/>
    <w:rsid w:val="00146030"/>
    <w:rsid w:val="0014606F"/>
    <w:rsid w:val="00146E10"/>
    <w:rsid w:val="00147737"/>
    <w:rsid w:val="001478AF"/>
    <w:rsid w:val="00147DE6"/>
    <w:rsid w:val="00150888"/>
    <w:rsid w:val="0015090A"/>
    <w:rsid w:val="00151290"/>
    <w:rsid w:val="0015143B"/>
    <w:rsid w:val="001516DC"/>
    <w:rsid w:val="00152421"/>
    <w:rsid w:val="001528E4"/>
    <w:rsid w:val="001528F2"/>
    <w:rsid w:val="00152ED8"/>
    <w:rsid w:val="001530BC"/>
    <w:rsid w:val="0015317B"/>
    <w:rsid w:val="001532D9"/>
    <w:rsid w:val="001536EF"/>
    <w:rsid w:val="00153708"/>
    <w:rsid w:val="00153944"/>
    <w:rsid w:val="00153F64"/>
    <w:rsid w:val="001544C1"/>
    <w:rsid w:val="00154AAD"/>
    <w:rsid w:val="00154E35"/>
    <w:rsid w:val="001553DA"/>
    <w:rsid w:val="0015629D"/>
    <w:rsid w:val="0015634F"/>
    <w:rsid w:val="00156975"/>
    <w:rsid w:val="0015697B"/>
    <w:rsid w:val="00156C33"/>
    <w:rsid w:val="0015719B"/>
    <w:rsid w:val="0015769D"/>
    <w:rsid w:val="00157747"/>
    <w:rsid w:val="00157900"/>
    <w:rsid w:val="001609A4"/>
    <w:rsid w:val="00160C88"/>
    <w:rsid w:val="00160D95"/>
    <w:rsid w:val="001610EA"/>
    <w:rsid w:val="00161987"/>
    <w:rsid w:val="001619BA"/>
    <w:rsid w:val="00162791"/>
    <w:rsid w:val="001630C2"/>
    <w:rsid w:val="001634F9"/>
    <w:rsid w:val="00163695"/>
    <w:rsid w:val="0016393F"/>
    <w:rsid w:val="00163E1B"/>
    <w:rsid w:val="00163E5F"/>
    <w:rsid w:val="00163F75"/>
    <w:rsid w:val="0016415A"/>
    <w:rsid w:val="001641F8"/>
    <w:rsid w:val="00164332"/>
    <w:rsid w:val="001644AF"/>
    <w:rsid w:val="001644EF"/>
    <w:rsid w:val="00164511"/>
    <w:rsid w:val="0016492B"/>
    <w:rsid w:val="00164D4A"/>
    <w:rsid w:val="00164DCF"/>
    <w:rsid w:val="00164FB1"/>
    <w:rsid w:val="001650DD"/>
    <w:rsid w:val="00165102"/>
    <w:rsid w:val="0016519E"/>
    <w:rsid w:val="00165331"/>
    <w:rsid w:val="001654D5"/>
    <w:rsid w:val="00166267"/>
    <w:rsid w:val="001664A0"/>
    <w:rsid w:val="00166601"/>
    <w:rsid w:val="00166628"/>
    <w:rsid w:val="001669FD"/>
    <w:rsid w:val="00166A72"/>
    <w:rsid w:val="00166B11"/>
    <w:rsid w:val="00166D7B"/>
    <w:rsid w:val="0016722D"/>
    <w:rsid w:val="00167612"/>
    <w:rsid w:val="00167A0E"/>
    <w:rsid w:val="00167BCC"/>
    <w:rsid w:val="00170004"/>
    <w:rsid w:val="001700C8"/>
    <w:rsid w:val="0017051C"/>
    <w:rsid w:val="001706C4"/>
    <w:rsid w:val="0017099B"/>
    <w:rsid w:val="00170AE9"/>
    <w:rsid w:val="00170E40"/>
    <w:rsid w:val="00171251"/>
    <w:rsid w:val="00171322"/>
    <w:rsid w:val="00171647"/>
    <w:rsid w:val="001716D5"/>
    <w:rsid w:val="001718D5"/>
    <w:rsid w:val="00171D61"/>
    <w:rsid w:val="001726F7"/>
    <w:rsid w:val="00172970"/>
    <w:rsid w:val="00172BE4"/>
    <w:rsid w:val="001736DD"/>
    <w:rsid w:val="00173A89"/>
    <w:rsid w:val="001741F1"/>
    <w:rsid w:val="0017442E"/>
    <w:rsid w:val="00174735"/>
    <w:rsid w:val="00174777"/>
    <w:rsid w:val="0017480B"/>
    <w:rsid w:val="00174920"/>
    <w:rsid w:val="00174D51"/>
    <w:rsid w:val="00174E1A"/>
    <w:rsid w:val="00174E1B"/>
    <w:rsid w:val="0017522E"/>
    <w:rsid w:val="001752DE"/>
    <w:rsid w:val="00175952"/>
    <w:rsid w:val="00175C9E"/>
    <w:rsid w:val="00175DCE"/>
    <w:rsid w:val="0017609D"/>
    <w:rsid w:val="0017663E"/>
    <w:rsid w:val="00177910"/>
    <w:rsid w:val="001808A1"/>
    <w:rsid w:val="00180C87"/>
    <w:rsid w:val="00180F48"/>
    <w:rsid w:val="00181051"/>
    <w:rsid w:val="00181680"/>
    <w:rsid w:val="001817A3"/>
    <w:rsid w:val="0018255D"/>
    <w:rsid w:val="00182A35"/>
    <w:rsid w:val="00182C05"/>
    <w:rsid w:val="00182D13"/>
    <w:rsid w:val="00183169"/>
    <w:rsid w:val="001832EB"/>
    <w:rsid w:val="001837CB"/>
    <w:rsid w:val="0018391A"/>
    <w:rsid w:val="001839E0"/>
    <w:rsid w:val="00183E72"/>
    <w:rsid w:val="0018443D"/>
    <w:rsid w:val="0018465D"/>
    <w:rsid w:val="00184685"/>
    <w:rsid w:val="00184BC3"/>
    <w:rsid w:val="00184DC9"/>
    <w:rsid w:val="00184FC0"/>
    <w:rsid w:val="0018505C"/>
    <w:rsid w:val="00185110"/>
    <w:rsid w:val="001852A0"/>
    <w:rsid w:val="00185C85"/>
    <w:rsid w:val="00185CA6"/>
    <w:rsid w:val="00185E2D"/>
    <w:rsid w:val="00185EDC"/>
    <w:rsid w:val="0018696F"/>
    <w:rsid w:val="00186CD6"/>
    <w:rsid w:val="00186F43"/>
    <w:rsid w:val="00187326"/>
    <w:rsid w:val="00187343"/>
    <w:rsid w:val="00187FAF"/>
    <w:rsid w:val="001903F9"/>
    <w:rsid w:val="0019074C"/>
    <w:rsid w:val="00190AC5"/>
    <w:rsid w:val="00190B96"/>
    <w:rsid w:val="00190F25"/>
    <w:rsid w:val="0019101F"/>
    <w:rsid w:val="001910B9"/>
    <w:rsid w:val="00191746"/>
    <w:rsid w:val="0019241C"/>
    <w:rsid w:val="00192D51"/>
    <w:rsid w:val="00192D99"/>
    <w:rsid w:val="00192F60"/>
    <w:rsid w:val="00193474"/>
    <w:rsid w:val="0019387B"/>
    <w:rsid w:val="001939A8"/>
    <w:rsid w:val="00193ED7"/>
    <w:rsid w:val="001941B0"/>
    <w:rsid w:val="001945DE"/>
    <w:rsid w:val="00194616"/>
    <w:rsid w:val="00195524"/>
    <w:rsid w:val="00195CDB"/>
    <w:rsid w:val="00195E4B"/>
    <w:rsid w:val="00195FC3"/>
    <w:rsid w:val="00196255"/>
    <w:rsid w:val="00196C00"/>
    <w:rsid w:val="00196E34"/>
    <w:rsid w:val="001973BD"/>
    <w:rsid w:val="00197B08"/>
    <w:rsid w:val="00197BB6"/>
    <w:rsid w:val="001A03FB"/>
    <w:rsid w:val="001A044D"/>
    <w:rsid w:val="001A0813"/>
    <w:rsid w:val="001A1169"/>
    <w:rsid w:val="001A1563"/>
    <w:rsid w:val="001A1984"/>
    <w:rsid w:val="001A1F94"/>
    <w:rsid w:val="001A2A76"/>
    <w:rsid w:val="001A33B5"/>
    <w:rsid w:val="001A3840"/>
    <w:rsid w:val="001A390A"/>
    <w:rsid w:val="001A46B1"/>
    <w:rsid w:val="001A4C57"/>
    <w:rsid w:val="001A4D6D"/>
    <w:rsid w:val="001A4F92"/>
    <w:rsid w:val="001A4FFB"/>
    <w:rsid w:val="001A5354"/>
    <w:rsid w:val="001A5D03"/>
    <w:rsid w:val="001A6893"/>
    <w:rsid w:val="001A69A5"/>
    <w:rsid w:val="001A6CC5"/>
    <w:rsid w:val="001A6E34"/>
    <w:rsid w:val="001A6FE7"/>
    <w:rsid w:val="001A7C50"/>
    <w:rsid w:val="001A7C6B"/>
    <w:rsid w:val="001A7E71"/>
    <w:rsid w:val="001B0371"/>
    <w:rsid w:val="001B0D25"/>
    <w:rsid w:val="001B111D"/>
    <w:rsid w:val="001B11C1"/>
    <w:rsid w:val="001B11FE"/>
    <w:rsid w:val="001B1873"/>
    <w:rsid w:val="001B192C"/>
    <w:rsid w:val="001B205F"/>
    <w:rsid w:val="001B2105"/>
    <w:rsid w:val="001B2259"/>
    <w:rsid w:val="001B26B9"/>
    <w:rsid w:val="001B27EC"/>
    <w:rsid w:val="001B2993"/>
    <w:rsid w:val="001B2A64"/>
    <w:rsid w:val="001B2B08"/>
    <w:rsid w:val="001B2B49"/>
    <w:rsid w:val="001B2D9B"/>
    <w:rsid w:val="001B3088"/>
    <w:rsid w:val="001B34F1"/>
    <w:rsid w:val="001B3E53"/>
    <w:rsid w:val="001B40EB"/>
    <w:rsid w:val="001B49E1"/>
    <w:rsid w:val="001B5384"/>
    <w:rsid w:val="001B5519"/>
    <w:rsid w:val="001B55A7"/>
    <w:rsid w:val="001B5980"/>
    <w:rsid w:val="001B59A6"/>
    <w:rsid w:val="001B5F34"/>
    <w:rsid w:val="001B61B1"/>
    <w:rsid w:val="001B6345"/>
    <w:rsid w:val="001B63E0"/>
    <w:rsid w:val="001B64CE"/>
    <w:rsid w:val="001B77D0"/>
    <w:rsid w:val="001B77FA"/>
    <w:rsid w:val="001B7BED"/>
    <w:rsid w:val="001B7CB6"/>
    <w:rsid w:val="001B7DB6"/>
    <w:rsid w:val="001C073A"/>
    <w:rsid w:val="001C19D3"/>
    <w:rsid w:val="001C1E74"/>
    <w:rsid w:val="001C281D"/>
    <w:rsid w:val="001C2A39"/>
    <w:rsid w:val="001C2AC3"/>
    <w:rsid w:val="001C2D11"/>
    <w:rsid w:val="001C2D3E"/>
    <w:rsid w:val="001C2DCB"/>
    <w:rsid w:val="001C2E8E"/>
    <w:rsid w:val="001C3820"/>
    <w:rsid w:val="001C3928"/>
    <w:rsid w:val="001C39A8"/>
    <w:rsid w:val="001C3D85"/>
    <w:rsid w:val="001C3FAB"/>
    <w:rsid w:val="001C4213"/>
    <w:rsid w:val="001C4303"/>
    <w:rsid w:val="001C4546"/>
    <w:rsid w:val="001C55D3"/>
    <w:rsid w:val="001C595C"/>
    <w:rsid w:val="001C5ADC"/>
    <w:rsid w:val="001C672B"/>
    <w:rsid w:val="001C67A1"/>
    <w:rsid w:val="001C7658"/>
    <w:rsid w:val="001C780A"/>
    <w:rsid w:val="001C782D"/>
    <w:rsid w:val="001C7A68"/>
    <w:rsid w:val="001C7D3F"/>
    <w:rsid w:val="001C7F41"/>
    <w:rsid w:val="001D0026"/>
    <w:rsid w:val="001D05DF"/>
    <w:rsid w:val="001D06DF"/>
    <w:rsid w:val="001D1047"/>
    <w:rsid w:val="001D10EC"/>
    <w:rsid w:val="001D1800"/>
    <w:rsid w:val="001D1A1A"/>
    <w:rsid w:val="001D1A2C"/>
    <w:rsid w:val="001D1DFA"/>
    <w:rsid w:val="001D2166"/>
    <w:rsid w:val="001D24D4"/>
    <w:rsid w:val="001D2799"/>
    <w:rsid w:val="001D291F"/>
    <w:rsid w:val="001D2E2C"/>
    <w:rsid w:val="001D34E9"/>
    <w:rsid w:val="001D3765"/>
    <w:rsid w:val="001D3770"/>
    <w:rsid w:val="001D396D"/>
    <w:rsid w:val="001D45BC"/>
    <w:rsid w:val="001D4E81"/>
    <w:rsid w:val="001D554C"/>
    <w:rsid w:val="001D620F"/>
    <w:rsid w:val="001D66E2"/>
    <w:rsid w:val="001D687E"/>
    <w:rsid w:val="001D6C63"/>
    <w:rsid w:val="001D7181"/>
    <w:rsid w:val="001D72AC"/>
    <w:rsid w:val="001D7886"/>
    <w:rsid w:val="001D7FE3"/>
    <w:rsid w:val="001E06E8"/>
    <w:rsid w:val="001E0724"/>
    <w:rsid w:val="001E0800"/>
    <w:rsid w:val="001E0935"/>
    <w:rsid w:val="001E10B5"/>
    <w:rsid w:val="001E163F"/>
    <w:rsid w:val="001E252E"/>
    <w:rsid w:val="001E2B53"/>
    <w:rsid w:val="001E2F70"/>
    <w:rsid w:val="001E36B8"/>
    <w:rsid w:val="001E3945"/>
    <w:rsid w:val="001E395B"/>
    <w:rsid w:val="001E3C9F"/>
    <w:rsid w:val="001E3E0E"/>
    <w:rsid w:val="001E4087"/>
    <w:rsid w:val="001E4095"/>
    <w:rsid w:val="001E4488"/>
    <w:rsid w:val="001E4982"/>
    <w:rsid w:val="001E4C5B"/>
    <w:rsid w:val="001E4C9B"/>
    <w:rsid w:val="001E5016"/>
    <w:rsid w:val="001E5EF0"/>
    <w:rsid w:val="001E61A2"/>
    <w:rsid w:val="001E61CA"/>
    <w:rsid w:val="001E6281"/>
    <w:rsid w:val="001E64CB"/>
    <w:rsid w:val="001E6631"/>
    <w:rsid w:val="001E6662"/>
    <w:rsid w:val="001E67AF"/>
    <w:rsid w:val="001E67D7"/>
    <w:rsid w:val="001E6DA9"/>
    <w:rsid w:val="001E7448"/>
    <w:rsid w:val="001E7853"/>
    <w:rsid w:val="001F02A3"/>
    <w:rsid w:val="001F1040"/>
    <w:rsid w:val="001F1653"/>
    <w:rsid w:val="001F22F8"/>
    <w:rsid w:val="001F24DD"/>
    <w:rsid w:val="001F256F"/>
    <w:rsid w:val="001F29C8"/>
    <w:rsid w:val="001F2A41"/>
    <w:rsid w:val="001F2B1B"/>
    <w:rsid w:val="001F2DE4"/>
    <w:rsid w:val="001F3010"/>
    <w:rsid w:val="001F349F"/>
    <w:rsid w:val="001F35C7"/>
    <w:rsid w:val="001F38B5"/>
    <w:rsid w:val="001F3AC0"/>
    <w:rsid w:val="001F3B25"/>
    <w:rsid w:val="001F3FC5"/>
    <w:rsid w:val="001F54AA"/>
    <w:rsid w:val="001F6089"/>
    <w:rsid w:val="001F654D"/>
    <w:rsid w:val="001F666B"/>
    <w:rsid w:val="001F70C8"/>
    <w:rsid w:val="001F726B"/>
    <w:rsid w:val="001F761F"/>
    <w:rsid w:val="001F7791"/>
    <w:rsid w:val="001F79A1"/>
    <w:rsid w:val="001F7E90"/>
    <w:rsid w:val="002000A8"/>
    <w:rsid w:val="00200C11"/>
    <w:rsid w:val="002010A0"/>
    <w:rsid w:val="00201433"/>
    <w:rsid w:val="00201D9B"/>
    <w:rsid w:val="00202061"/>
    <w:rsid w:val="002022EF"/>
    <w:rsid w:val="00202412"/>
    <w:rsid w:val="00202606"/>
    <w:rsid w:val="00203489"/>
    <w:rsid w:val="00203F7E"/>
    <w:rsid w:val="00203FE3"/>
    <w:rsid w:val="002056AD"/>
    <w:rsid w:val="00205E6C"/>
    <w:rsid w:val="00205EA5"/>
    <w:rsid w:val="00205F2D"/>
    <w:rsid w:val="00205F50"/>
    <w:rsid w:val="0020622F"/>
    <w:rsid w:val="002067D5"/>
    <w:rsid w:val="00206C37"/>
    <w:rsid w:val="002074E1"/>
    <w:rsid w:val="00207AE4"/>
    <w:rsid w:val="00207EAF"/>
    <w:rsid w:val="0021010A"/>
    <w:rsid w:val="00210BD4"/>
    <w:rsid w:val="00210C56"/>
    <w:rsid w:val="00210C8C"/>
    <w:rsid w:val="00210C98"/>
    <w:rsid w:val="00211A64"/>
    <w:rsid w:val="00211E0A"/>
    <w:rsid w:val="00211E77"/>
    <w:rsid w:val="00212487"/>
    <w:rsid w:val="002124EC"/>
    <w:rsid w:val="00212578"/>
    <w:rsid w:val="002127ED"/>
    <w:rsid w:val="00212839"/>
    <w:rsid w:val="00213169"/>
    <w:rsid w:val="002131FF"/>
    <w:rsid w:val="00213C05"/>
    <w:rsid w:val="00213C58"/>
    <w:rsid w:val="00213D25"/>
    <w:rsid w:val="00213D76"/>
    <w:rsid w:val="00213F26"/>
    <w:rsid w:val="0021407A"/>
    <w:rsid w:val="00214C0F"/>
    <w:rsid w:val="0021504F"/>
    <w:rsid w:val="00215387"/>
    <w:rsid w:val="002158AE"/>
    <w:rsid w:val="00215C96"/>
    <w:rsid w:val="00215EDC"/>
    <w:rsid w:val="00216A27"/>
    <w:rsid w:val="00216C78"/>
    <w:rsid w:val="00216C98"/>
    <w:rsid w:val="00216E10"/>
    <w:rsid w:val="00217218"/>
    <w:rsid w:val="00217486"/>
    <w:rsid w:val="0021796C"/>
    <w:rsid w:val="002204A8"/>
    <w:rsid w:val="0022052D"/>
    <w:rsid w:val="0022072A"/>
    <w:rsid w:val="002209E3"/>
    <w:rsid w:val="00220AEF"/>
    <w:rsid w:val="00221EE2"/>
    <w:rsid w:val="0022223E"/>
    <w:rsid w:val="002224E8"/>
    <w:rsid w:val="002228EF"/>
    <w:rsid w:val="00223AB0"/>
    <w:rsid w:val="00224A5D"/>
    <w:rsid w:val="00224EC6"/>
    <w:rsid w:val="0022518D"/>
    <w:rsid w:val="00225AF2"/>
    <w:rsid w:val="00225D92"/>
    <w:rsid w:val="00226559"/>
    <w:rsid w:val="002268CF"/>
    <w:rsid w:val="00226F19"/>
    <w:rsid w:val="00227118"/>
    <w:rsid w:val="002276B5"/>
    <w:rsid w:val="00227C33"/>
    <w:rsid w:val="002307E1"/>
    <w:rsid w:val="00230A83"/>
    <w:rsid w:val="00230ECF"/>
    <w:rsid w:val="00230ED3"/>
    <w:rsid w:val="00231182"/>
    <w:rsid w:val="00231A35"/>
    <w:rsid w:val="0023200D"/>
    <w:rsid w:val="002326E4"/>
    <w:rsid w:val="002327D6"/>
    <w:rsid w:val="0023293C"/>
    <w:rsid w:val="00232B92"/>
    <w:rsid w:val="002335BC"/>
    <w:rsid w:val="00233B9B"/>
    <w:rsid w:val="00234244"/>
    <w:rsid w:val="002346D6"/>
    <w:rsid w:val="00234902"/>
    <w:rsid w:val="00235061"/>
    <w:rsid w:val="00235B16"/>
    <w:rsid w:val="002363BB"/>
    <w:rsid w:val="0023641A"/>
    <w:rsid w:val="00236D00"/>
    <w:rsid w:val="00236F86"/>
    <w:rsid w:val="00237335"/>
    <w:rsid w:val="00237449"/>
    <w:rsid w:val="00237759"/>
    <w:rsid w:val="00237926"/>
    <w:rsid w:val="002379DA"/>
    <w:rsid w:val="00237A06"/>
    <w:rsid w:val="00237C3B"/>
    <w:rsid w:val="00240CDF"/>
    <w:rsid w:val="00240DA6"/>
    <w:rsid w:val="00240FEC"/>
    <w:rsid w:val="00241E11"/>
    <w:rsid w:val="00242072"/>
    <w:rsid w:val="0024233E"/>
    <w:rsid w:val="0024299A"/>
    <w:rsid w:val="00242E51"/>
    <w:rsid w:val="00243352"/>
    <w:rsid w:val="0024383B"/>
    <w:rsid w:val="0024452B"/>
    <w:rsid w:val="00244848"/>
    <w:rsid w:val="002448FB"/>
    <w:rsid w:val="00245356"/>
    <w:rsid w:val="00245838"/>
    <w:rsid w:val="0024587F"/>
    <w:rsid w:val="00245BC8"/>
    <w:rsid w:val="00245C2A"/>
    <w:rsid w:val="00245DC5"/>
    <w:rsid w:val="002461A5"/>
    <w:rsid w:val="00246651"/>
    <w:rsid w:val="00246C6E"/>
    <w:rsid w:val="00246D0C"/>
    <w:rsid w:val="00246E3E"/>
    <w:rsid w:val="00247102"/>
    <w:rsid w:val="00247BFF"/>
    <w:rsid w:val="00247F1A"/>
    <w:rsid w:val="002507B2"/>
    <w:rsid w:val="0025083F"/>
    <w:rsid w:val="00250888"/>
    <w:rsid w:val="00250B8B"/>
    <w:rsid w:val="00250F5B"/>
    <w:rsid w:val="002518A4"/>
    <w:rsid w:val="00251BA4"/>
    <w:rsid w:val="002520FD"/>
    <w:rsid w:val="00252174"/>
    <w:rsid w:val="00253A01"/>
    <w:rsid w:val="00253B2B"/>
    <w:rsid w:val="00253E6D"/>
    <w:rsid w:val="00253E7D"/>
    <w:rsid w:val="00254077"/>
    <w:rsid w:val="0025409A"/>
    <w:rsid w:val="0025433E"/>
    <w:rsid w:val="002546D7"/>
    <w:rsid w:val="00254782"/>
    <w:rsid w:val="0025493D"/>
    <w:rsid w:val="00254FB6"/>
    <w:rsid w:val="00255148"/>
    <w:rsid w:val="00255278"/>
    <w:rsid w:val="002563FB"/>
    <w:rsid w:val="00256534"/>
    <w:rsid w:val="002566BF"/>
    <w:rsid w:val="002569AE"/>
    <w:rsid w:val="00256DB6"/>
    <w:rsid w:val="002579BE"/>
    <w:rsid w:val="00257A48"/>
    <w:rsid w:val="00260022"/>
    <w:rsid w:val="002602C2"/>
    <w:rsid w:val="0026146B"/>
    <w:rsid w:val="0026159F"/>
    <w:rsid w:val="002615C0"/>
    <w:rsid w:val="00261687"/>
    <w:rsid w:val="00261977"/>
    <w:rsid w:val="00261C3F"/>
    <w:rsid w:val="00261FBC"/>
    <w:rsid w:val="00262086"/>
    <w:rsid w:val="00262612"/>
    <w:rsid w:val="0026286B"/>
    <w:rsid w:val="00263003"/>
    <w:rsid w:val="002633BB"/>
    <w:rsid w:val="0026343B"/>
    <w:rsid w:val="00263B76"/>
    <w:rsid w:val="002647A6"/>
    <w:rsid w:val="00264BA2"/>
    <w:rsid w:val="00264F83"/>
    <w:rsid w:val="00265149"/>
    <w:rsid w:val="00265172"/>
    <w:rsid w:val="00265385"/>
    <w:rsid w:val="00265525"/>
    <w:rsid w:val="002659C9"/>
    <w:rsid w:val="00265BCD"/>
    <w:rsid w:val="00265E10"/>
    <w:rsid w:val="0026640D"/>
    <w:rsid w:val="002669EA"/>
    <w:rsid w:val="00266EE7"/>
    <w:rsid w:val="00267587"/>
    <w:rsid w:val="00267FBF"/>
    <w:rsid w:val="00270247"/>
    <w:rsid w:val="0027064C"/>
    <w:rsid w:val="00270C8B"/>
    <w:rsid w:val="00270E5E"/>
    <w:rsid w:val="002710BB"/>
    <w:rsid w:val="00271456"/>
    <w:rsid w:val="002716CF"/>
    <w:rsid w:val="002719D1"/>
    <w:rsid w:val="00271F76"/>
    <w:rsid w:val="0027239D"/>
    <w:rsid w:val="002723DA"/>
    <w:rsid w:val="00272582"/>
    <w:rsid w:val="00272FF3"/>
    <w:rsid w:val="0027344E"/>
    <w:rsid w:val="00273468"/>
    <w:rsid w:val="002738A0"/>
    <w:rsid w:val="0027435D"/>
    <w:rsid w:val="002746B2"/>
    <w:rsid w:val="0027484A"/>
    <w:rsid w:val="00274E69"/>
    <w:rsid w:val="00274F9A"/>
    <w:rsid w:val="0027567D"/>
    <w:rsid w:val="00276749"/>
    <w:rsid w:val="00276921"/>
    <w:rsid w:val="00276EAC"/>
    <w:rsid w:val="0028032F"/>
    <w:rsid w:val="002805EC"/>
    <w:rsid w:val="00280614"/>
    <w:rsid w:val="002808B2"/>
    <w:rsid w:val="00280F39"/>
    <w:rsid w:val="002813E5"/>
    <w:rsid w:val="00281783"/>
    <w:rsid w:val="00281AB9"/>
    <w:rsid w:val="00281ABD"/>
    <w:rsid w:val="00281D23"/>
    <w:rsid w:val="00282260"/>
    <w:rsid w:val="00282AFF"/>
    <w:rsid w:val="00282CC1"/>
    <w:rsid w:val="00282F08"/>
    <w:rsid w:val="002832B4"/>
    <w:rsid w:val="0028330E"/>
    <w:rsid w:val="002834AC"/>
    <w:rsid w:val="00283902"/>
    <w:rsid w:val="00283BA5"/>
    <w:rsid w:val="00283CF8"/>
    <w:rsid w:val="00285187"/>
    <w:rsid w:val="00285377"/>
    <w:rsid w:val="002855C1"/>
    <w:rsid w:val="0028572B"/>
    <w:rsid w:val="0028593C"/>
    <w:rsid w:val="002865DD"/>
    <w:rsid w:val="002870B4"/>
    <w:rsid w:val="0028769A"/>
    <w:rsid w:val="002876AC"/>
    <w:rsid w:val="00287AFB"/>
    <w:rsid w:val="00287B14"/>
    <w:rsid w:val="00290059"/>
    <w:rsid w:val="00290066"/>
    <w:rsid w:val="0029028F"/>
    <w:rsid w:val="00290C16"/>
    <w:rsid w:val="00290E21"/>
    <w:rsid w:val="0029123C"/>
    <w:rsid w:val="00291415"/>
    <w:rsid w:val="00291973"/>
    <w:rsid w:val="00291BB8"/>
    <w:rsid w:val="00292181"/>
    <w:rsid w:val="0029269D"/>
    <w:rsid w:val="002929C7"/>
    <w:rsid w:val="00292D0D"/>
    <w:rsid w:val="00293313"/>
    <w:rsid w:val="0029379E"/>
    <w:rsid w:val="002939DD"/>
    <w:rsid w:val="00293BB1"/>
    <w:rsid w:val="00293C45"/>
    <w:rsid w:val="00293C6A"/>
    <w:rsid w:val="002940B8"/>
    <w:rsid w:val="002942EA"/>
    <w:rsid w:val="002947B8"/>
    <w:rsid w:val="0029493D"/>
    <w:rsid w:val="00294DAE"/>
    <w:rsid w:val="00295219"/>
    <w:rsid w:val="00295494"/>
    <w:rsid w:val="0029557A"/>
    <w:rsid w:val="00295C1F"/>
    <w:rsid w:val="00296059"/>
    <w:rsid w:val="00296269"/>
    <w:rsid w:val="00296703"/>
    <w:rsid w:val="00296807"/>
    <w:rsid w:val="00296A0D"/>
    <w:rsid w:val="00296DF0"/>
    <w:rsid w:val="0029752F"/>
    <w:rsid w:val="00297A17"/>
    <w:rsid w:val="00297BDF"/>
    <w:rsid w:val="00297F05"/>
    <w:rsid w:val="00297FA7"/>
    <w:rsid w:val="002A008B"/>
    <w:rsid w:val="002A00DB"/>
    <w:rsid w:val="002A098C"/>
    <w:rsid w:val="002A0C09"/>
    <w:rsid w:val="002A11E2"/>
    <w:rsid w:val="002A1EEB"/>
    <w:rsid w:val="002A207E"/>
    <w:rsid w:val="002A2ABB"/>
    <w:rsid w:val="002A3613"/>
    <w:rsid w:val="002A3687"/>
    <w:rsid w:val="002A4763"/>
    <w:rsid w:val="002A55C3"/>
    <w:rsid w:val="002A5B66"/>
    <w:rsid w:val="002A6054"/>
    <w:rsid w:val="002A6115"/>
    <w:rsid w:val="002A6930"/>
    <w:rsid w:val="002A70AC"/>
    <w:rsid w:val="002A7779"/>
    <w:rsid w:val="002A7814"/>
    <w:rsid w:val="002A79B1"/>
    <w:rsid w:val="002B0899"/>
    <w:rsid w:val="002B0EF7"/>
    <w:rsid w:val="002B0FE3"/>
    <w:rsid w:val="002B108A"/>
    <w:rsid w:val="002B19A4"/>
    <w:rsid w:val="002B206F"/>
    <w:rsid w:val="002B22A3"/>
    <w:rsid w:val="002B2474"/>
    <w:rsid w:val="002B263B"/>
    <w:rsid w:val="002B36E9"/>
    <w:rsid w:val="002B3AB6"/>
    <w:rsid w:val="002B41BC"/>
    <w:rsid w:val="002B451F"/>
    <w:rsid w:val="002B48AE"/>
    <w:rsid w:val="002B5301"/>
    <w:rsid w:val="002B5490"/>
    <w:rsid w:val="002B5BEB"/>
    <w:rsid w:val="002B71B7"/>
    <w:rsid w:val="002B7543"/>
    <w:rsid w:val="002C0729"/>
    <w:rsid w:val="002C098B"/>
    <w:rsid w:val="002C0E62"/>
    <w:rsid w:val="002C0FDF"/>
    <w:rsid w:val="002C1159"/>
    <w:rsid w:val="002C1557"/>
    <w:rsid w:val="002C15AA"/>
    <w:rsid w:val="002C1967"/>
    <w:rsid w:val="002C2146"/>
    <w:rsid w:val="002C2213"/>
    <w:rsid w:val="002C2905"/>
    <w:rsid w:val="002C2C5B"/>
    <w:rsid w:val="002C2D8C"/>
    <w:rsid w:val="002C38A3"/>
    <w:rsid w:val="002C38CD"/>
    <w:rsid w:val="002C3C2A"/>
    <w:rsid w:val="002C3EC4"/>
    <w:rsid w:val="002C3FF0"/>
    <w:rsid w:val="002C40FF"/>
    <w:rsid w:val="002C41E3"/>
    <w:rsid w:val="002C42FB"/>
    <w:rsid w:val="002C4377"/>
    <w:rsid w:val="002C4830"/>
    <w:rsid w:val="002C487D"/>
    <w:rsid w:val="002C4F30"/>
    <w:rsid w:val="002C4F61"/>
    <w:rsid w:val="002C4FB1"/>
    <w:rsid w:val="002C51F7"/>
    <w:rsid w:val="002C5C0A"/>
    <w:rsid w:val="002C5EC8"/>
    <w:rsid w:val="002C6666"/>
    <w:rsid w:val="002C6C19"/>
    <w:rsid w:val="002C6EB2"/>
    <w:rsid w:val="002C72FD"/>
    <w:rsid w:val="002C78FD"/>
    <w:rsid w:val="002D0361"/>
    <w:rsid w:val="002D0878"/>
    <w:rsid w:val="002D0965"/>
    <w:rsid w:val="002D0A20"/>
    <w:rsid w:val="002D0A8D"/>
    <w:rsid w:val="002D1024"/>
    <w:rsid w:val="002D124E"/>
    <w:rsid w:val="002D1310"/>
    <w:rsid w:val="002D1644"/>
    <w:rsid w:val="002D1EAB"/>
    <w:rsid w:val="002D21F3"/>
    <w:rsid w:val="002D237B"/>
    <w:rsid w:val="002D2930"/>
    <w:rsid w:val="002D333B"/>
    <w:rsid w:val="002D33B2"/>
    <w:rsid w:val="002D3AF0"/>
    <w:rsid w:val="002D3B61"/>
    <w:rsid w:val="002D40C6"/>
    <w:rsid w:val="002D41D6"/>
    <w:rsid w:val="002D4979"/>
    <w:rsid w:val="002D5364"/>
    <w:rsid w:val="002D55F8"/>
    <w:rsid w:val="002D5710"/>
    <w:rsid w:val="002D57BD"/>
    <w:rsid w:val="002D5823"/>
    <w:rsid w:val="002D5C91"/>
    <w:rsid w:val="002D5F78"/>
    <w:rsid w:val="002D6035"/>
    <w:rsid w:val="002D6141"/>
    <w:rsid w:val="002D61B5"/>
    <w:rsid w:val="002D6285"/>
    <w:rsid w:val="002D6D9F"/>
    <w:rsid w:val="002D708A"/>
    <w:rsid w:val="002D70EE"/>
    <w:rsid w:val="002D74C0"/>
    <w:rsid w:val="002D7621"/>
    <w:rsid w:val="002D7D11"/>
    <w:rsid w:val="002E0048"/>
    <w:rsid w:val="002E00B7"/>
    <w:rsid w:val="002E014E"/>
    <w:rsid w:val="002E016F"/>
    <w:rsid w:val="002E023B"/>
    <w:rsid w:val="002E03E3"/>
    <w:rsid w:val="002E0899"/>
    <w:rsid w:val="002E097C"/>
    <w:rsid w:val="002E15C1"/>
    <w:rsid w:val="002E20E0"/>
    <w:rsid w:val="002E2477"/>
    <w:rsid w:val="002E253A"/>
    <w:rsid w:val="002E2700"/>
    <w:rsid w:val="002E297E"/>
    <w:rsid w:val="002E34DF"/>
    <w:rsid w:val="002E35E8"/>
    <w:rsid w:val="002E4471"/>
    <w:rsid w:val="002E46A9"/>
    <w:rsid w:val="002E5261"/>
    <w:rsid w:val="002E5A76"/>
    <w:rsid w:val="002E5F78"/>
    <w:rsid w:val="002E5F92"/>
    <w:rsid w:val="002E6602"/>
    <w:rsid w:val="002E6ADF"/>
    <w:rsid w:val="002E70CB"/>
    <w:rsid w:val="002E7431"/>
    <w:rsid w:val="002E74BC"/>
    <w:rsid w:val="002E75BC"/>
    <w:rsid w:val="002E7976"/>
    <w:rsid w:val="002F0234"/>
    <w:rsid w:val="002F09B2"/>
    <w:rsid w:val="002F1AD4"/>
    <w:rsid w:val="002F1D43"/>
    <w:rsid w:val="002F24BF"/>
    <w:rsid w:val="002F2940"/>
    <w:rsid w:val="002F2FA5"/>
    <w:rsid w:val="002F311A"/>
    <w:rsid w:val="002F36D0"/>
    <w:rsid w:val="002F3D04"/>
    <w:rsid w:val="002F47F3"/>
    <w:rsid w:val="002F4A0E"/>
    <w:rsid w:val="002F4E93"/>
    <w:rsid w:val="002F50B6"/>
    <w:rsid w:val="002F5282"/>
    <w:rsid w:val="002F5900"/>
    <w:rsid w:val="002F637F"/>
    <w:rsid w:val="002F6A2B"/>
    <w:rsid w:val="002F6F63"/>
    <w:rsid w:val="002F6F68"/>
    <w:rsid w:val="002F705F"/>
    <w:rsid w:val="002F7637"/>
    <w:rsid w:val="002F7641"/>
    <w:rsid w:val="002F7D97"/>
    <w:rsid w:val="002F7F4C"/>
    <w:rsid w:val="00300332"/>
    <w:rsid w:val="00301069"/>
    <w:rsid w:val="00301255"/>
    <w:rsid w:val="00301673"/>
    <w:rsid w:val="003016FD"/>
    <w:rsid w:val="00301B92"/>
    <w:rsid w:val="00302186"/>
    <w:rsid w:val="0030225E"/>
    <w:rsid w:val="003024A2"/>
    <w:rsid w:val="003026E5"/>
    <w:rsid w:val="00302C5B"/>
    <w:rsid w:val="00303D5A"/>
    <w:rsid w:val="00304068"/>
    <w:rsid w:val="0030417A"/>
    <w:rsid w:val="0030425F"/>
    <w:rsid w:val="00304EE1"/>
    <w:rsid w:val="00304FE1"/>
    <w:rsid w:val="0030641C"/>
    <w:rsid w:val="00307EEB"/>
    <w:rsid w:val="00310236"/>
    <w:rsid w:val="003108AC"/>
    <w:rsid w:val="003108F2"/>
    <w:rsid w:val="00310D5B"/>
    <w:rsid w:val="00310E8A"/>
    <w:rsid w:val="003117BC"/>
    <w:rsid w:val="003119F4"/>
    <w:rsid w:val="00311FFD"/>
    <w:rsid w:val="003123C8"/>
    <w:rsid w:val="00312474"/>
    <w:rsid w:val="00312885"/>
    <w:rsid w:val="00312BCD"/>
    <w:rsid w:val="003130B2"/>
    <w:rsid w:val="003142E5"/>
    <w:rsid w:val="00314349"/>
    <w:rsid w:val="00314662"/>
    <w:rsid w:val="00314D32"/>
    <w:rsid w:val="00314EA2"/>
    <w:rsid w:val="00315448"/>
    <w:rsid w:val="00315C50"/>
    <w:rsid w:val="00315DD8"/>
    <w:rsid w:val="003165CF"/>
    <w:rsid w:val="003166A1"/>
    <w:rsid w:val="00316A66"/>
    <w:rsid w:val="00316A8B"/>
    <w:rsid w:val="00316B49"/>
    <w:rsid w:val="00316BF1"/>
    <w:rsid w:val="003171AA"/>
    <w:rsid w:val="00317C3A"/>
    <w:rsid w:val="003203B0"/>
    <w:rsid w:val="0032103F"/>
    <w:rsid w:val="00321CD3"/>
    <w:rsid w:val="00321E33"/>
    <w:rsid w:val="003223D4"/>
    <w:rsid w:val="00322EF8"/>
    <w:rsid w:val="00323130"/>
    <w:rsid w:val="0032378F"/>
    <w:rsid w:val="00323AA4"/>
    <w:rsid w:val="00323D89"/>
    <w:rsid w:val="00324297"/>
    <w:rsid w:val="003247BC"/>
    <w:rsid w:val="0032489F"/>
    <w:rsid w:val="003248AD"/>
    <w:rsid w:val="003249A9"/>
    <w:rsid w:val="00324AF8"/>
    <w:rsid w:val="00324F06"/>
    <w:rsid w:val="0032526D"/>
    <w:rsid w:val="003263AC"/>
    <w:rsid w:val="00327DF6"/>
    <w:rsid w:val="00327DFD"/>
    <w:rsid w:val="003304A7"/>
    <w:rsid w:val="003309A0"/>
    <w:rsid w:val="00330BFD"/>
    <w:rsid w:val="00331E15"/>
    <w:rsid w:val="00331EBF"/>
    <w:rsid w:val="00332148"/>
    <w:rsid w:val="00332544"/>
    <w:rsid w:val="0033293A"/>
    <w:rsid w:val="00333165"/>
    <w:rsid w:val="00333451"/>
    <w:rsid w:val="00333BE9"/>
    <w:rsid w:val="00333D86"/>
    <w:rsid w:val="00333DDF"/>
    <w:rsid w:val="00333ED7"/>
    <w:rsid w:val="0033478E"/>
    <w:rsid w:val="00334849"/>
    <w:rsid w:val="003348EC"/>
    <w:rsid w:val="00334DB4"/>
    <w:rsid w:val="003358E9"/>
    <w:rsid w:val="00335CF9"/>
    <w:rsid w:val="00335DA4"/>
    <w:rsid w:val="00335F79"/>
    <w:rsid w:val="003360BF"/>
    <w:rsid w:val="00336214"/>
    <w:rsid w:val="003363CC"/>
    <w:rsid w:val="00336C52"/>
    <w:rsid w:val="00336F67"/>
    <w:rsid w:val="00337082"/>
    <w:rsid w:val="00337356"/>
    <w:rsid w:val="00337364"/>
    <w:rsid w:val="0033774E"/>
    <w:rsid w:val="0033782C"/>
    <w:rsid w:val="00337F03"/>
    <w:rsid w:val="003400A5"/>
    <w:rsid w:val="003404A1"/>
    <w:rsid w:val="0034139D"/>
    <w:rsid w:val="00342334"/>
    <w:rsid w:val="0034237C"/>
    <w:rsid w:val="003423CD"/>
    <w:rsid w:val="0034244B"/>
    <w:rsid w:val="00342A07"/>
    <w:rsid w:val="003432F4"/>
    <w:rsid w:val="003432FE"/>
    <w:rsid w:val="00343712"/>
    <w:rsid w:val="00343DFD"/>
    <w:rsid w:val="003440C9"/>
    <w:rsid w:val="0034481A"/>
    <w:rsid w:val="00345502"/>
    <w:rsid w:val="00345EDF"/>
    <w:rsid w:val="003467C6"/>
    <w:rsid w:val="00346A69"/>
    <w:rsid w:val="003471C9"/>
    <w:rsid w:val="003474CB"/>
    <w:rsid w:val="003474DA"/>
    <w:rsid w:val="0034776B"/>
    <w:rsid w:val="003478C7"/>
    <w:rsid w:val="00347E84"/>
    <w:rsid w:val="00347FE8"/>
    <w:rsid w:val="003502D8"/>
    <w:rsid w:val="003503AF"/>
    <w:rsid w:val="00350406"/>
    <w:rsid w:val="003505BA"/>
    <w:rsid w:val="00350A2B"/>
    <w:rsid w:val="00350AF4"/>
    <w:rsid w:val="00350BE8"/>
    <w:rsid w:val="00350CF6"/>
    <w:rsid w:val="00350F28"/>
    <w:rsid w:val="00351A88"/>
    <w:rsid w:val="00351AAA"/>
    <w:rsid w:val="00351F67"/>
    <w:rsid w:val="003539FC"/>
    <w:rsid w:val="00353AAC"/>
    <w:rsid w:val="00353DEE"/>
    <w:rsid w:val="003542CA"/>
    <w:rsid w:val="0035467B"/>
    <w:rsid w:val="00354CCB"/>
    <w:rsid w:val="00354EA2"/>
    <w:rsid w:val="00355827"/>
    <w:rsid w:val="00355B24"/>
    <w:rsid w:val="00355DDD"/>
    <w:rsid w:val="00356260"/>
    <w:rsid w:val="003564D6"/>
    <w:rsid w:val="0035655A"/>
    <w:rsid w:val="003569BC"/>
    <w:rsid w:val="00356B64"/>
    <w:rsid w:val="00356DE7"/>
    <w:rsid w:val="00356F6F"/>
    <w:rsid w:val="0035701D"/>
    <w:rsid w:val="0035710E"/>
    <w:rsid w:val="003604BF"/>
    <w:rsid w:val="003605F5"/>
    <w:rsid w:val="003612F3"/>
    <w:rsid w:val="00361337"/>
    <w:rsid w:val="00361937"/>
    <w:rsid w:val="00361F5F"/>
    <w:rsid w:val="00362B7A"/>
    <w:rsid w:val="00362D39"/>
    <w:rsid w:val="00362FC3"/>
    <w:rsid w:val="00363098"/>
    <w:rsid w:val="00363E1F"/>
    <w:rsid w:val="00363E7C"/>
    <w:rsid w:val="00363EC9"/>
    <w:rsid w:val="00364007"/>
    <w:rsid w:val="0036499C"/>
    <w:rsid w:val="00364FAE"/>
    <w:rsid w:val="0036509C"/>
    <w:rsid w:val="00365675"/>
    <w:rsid w:val="00365927"/>
    <w:rsid w:val="00365B22"/>
    <w:rsid w:val="00365D36"/>
    <w:rsid w:val="0036641E"/>
    <w:rsid w:val="003664DC"/>
    <w:rsid w:val="00366665"/>
    <w:rsid w:val="00366D56"/>
    <w:rsid w:val="00366EEF"/>
    <w:rsid w:val="003674B2"/>
    <w:rsid w:val="00367C30"/>
    <w:rsid w:val="0037170A"/>
    <w:rsid w:val="00371963"/>
    <w:rsid w:val="00371D88"/>
    <w:rsid w:val="0037216F"/>
    <w:rsid w:val="00372515"/>
    <w:rsid w:val="003727F1"/>
    <w:rsid w:val="00372BB8"/>
    <w:rsid w:val="00372FE2"/>
    <w:rsid w:val="00373044"/>
    <w:rsid w:val="00373125"/>
    <w:rsid w:val="00373C11"/>
    <w:rsid w:val="00373C21"/>
    <w:rsid w:val="00374D44"/>
    <w:rsid w:val="00374FD0"/>
    <w:rsid w:val="003751A2"/>
    <w:rsid w:val="0037556C"/>
    <w:rsid w:val="00375D16"/>
    <w:rsid w:val="00375E21"/>
    <w:rsid w:val="00375F5C"/>
    <w:rsid w:val="00376173"/>
    <w:rsid w:val="00376831"/>
    <w:rsid w:val="00376AFA"/>
    <w:rsid w:val="00376E9F"/>
    <w:rsid w:val="0037708D"/>
    <w:rsid w:val="00377178"/>
    <w:rsid w:val="00377621"/>
    <w:rsid w:val="003800EB"/>
    <w:rsid w:val="00380294"/>
    <w:rsid w:val="00380521"/>
    <w:rsid w:val="00380B30"/>
    <w:rsid w:val="00380D36"/>
    <w:rsid w:val="00380D55"/>
    <w:rsid w:val="003817C9"/>
    <w:rsid w:val="003819CF"/>
    <w:rsid w:val="00381D89"/>
    <w:rsid w:val="0038212D"/>
    <w:rsid w:val="003830C7"/>
    <w:rsid w:val="003830F8"/>
    <w:rsid w:val="0038360F"/>
    <w:rsid w:val="00383EC2"/>
    <w:rsid w:val="003842E3"/>
    <w:rsid w:val="0038473F"/>
    <w:rsid w:val="003848A3"/>
    <w:rsid w:val="00384B16"/>
    <w:rsid w:val="00384F06"/>
    <w:rsid w:val="003850D8"/>
    <w:rsid w:val="00385471"/>
    <w:rsid w:val="00385ED2"/>
    <w:rsid w:val="00385EE8"/>
    <w:rsid w:val="00386169"/>
    <w:rsid w:val="00386BBB"/>
    <w:rsid w:val="00386CEC"/>
    <w:rsid w:val="003878F1"/>
    <w:rsid w:val="00387C75"/>
    <w:rsid w:val="00387CCB"/>
    <w:rsid w:val="00387D07"/>
    <w:rsid w:val="003904C1"/>
    <w:rsid w:val="00390C97"/>
    <w:rsid w:val="00390F23"/>
    <w:rsid w:val="00391319"/>
    <w:rsid w:val="003919AC"/>
    <w:rsid w:val="00391A87"/>
    <w:rsid w:val="00391BE6"/>
    <w:rsid w:val="00392152"/>
    <w:rsid w:val="00392300"/>
    <w:rsid w:val="0039290B"/>
    <w:rsid w:val="00392A64"/>
    <w:rsid w:val="00392AC7"/>
    <w:rsid w:val="00392BE3"/>
    <w:rsid w:val="003931F2"/>
    <w:rsid w:val="00393A11"/>
    <w:rsid w:val="00393AE3"/>
    <w:rsid w:val="00393BD3"/>
    <w:rsid w:val="00394236"/>
    <w:rsid w:val="00394A33"/>
    <w:rsid w:val="00394D5B"/>
    <w:rsid w:val="00395398"/>
    <w:rsid w:val="0039556E"/>
    <w:rsid w:val="00395669"/>
    <w:rsid w:val="003958D8"/>
    <w:rsid w:val="00395B4F"/>
    <w:rsid w:val="00395D6F"/>
    <w:rsid w:val="00395D82"/>
    <w:rsid w:val="00396160"/>
    <w:rsid w:val="00396196"/>
    <w:rsid w:val="00396444"/>
    <w:rsid w:val="00396649"/>
    <w:rsid w:val="00396C3B"/>
    <w:rsid w:val="003970B5"/>
    <w:rsid w:val="00397426"/>
    <w:rsid w:val="003976AE"/>
    <w:rsid w:val="00397739"/>
    <w:rsid w:val="003A0360"/>
    <w:rsid w:val="003A0628"/>
    <w:rsid w:val="003A0853"/>
    <w:rsid w:val="003A0921"/>
    <w:rsid w:val="003A0EE8"/>
    <w:rsid w:val="003A0EEB"/>
    <w:rsid w:val="003A1319"/>
    <w:rsid w:val="003A1354"/>
    <w:rsid w:val="003A1732"/>
    <w:rsid w:val="003A1FC7"/>
    <w:rsid w:val="003A2159"/>
    <w:rsid w:val="003A288E"/>
    <w:rsid w:val="003A342C"/>
    <w:rsid w:val="003A3442"/>
    <w:rsid w:val="003A3971"/>
    <w:rsid w:val="003A3A67"/>
    <w:rsid w:val="003A45D7"/>
    <w:rsid w:val="003A4C1F"/>
    <w:rsid w:val="003A4D1B"/>
    <w:rsid w:val="003A5985"/>
    <w:rsid w:val="003A5BDE"/>
    <w:rsid w:val="003A5F46"/>
    <w:rsid w:val="003A64B0"/>
    <w:rsid w:val="003A6671"/>
    <w:rsid w:val="003A68FE"/>
    <w:rsid w:val="003A703B"/>
    <w:rsid w:val="003A7A75"/>
    <w:rsid w:val="003A7F91"/>
    <w:rsid w:val="003A7FBC"/>
    <w:rsid w:val="003B0593"/>
    <w:rsid w:val="003B0737"/>
    <w:rsid w:val="003B0C8A"/>
    <w:rsid w:val="003B0C8C"/>
    <w:rsid w:val="003B1037"/>
    <w:rsid w:val="003B1A4A"/>
    <w:rsid w:val="003B294A"/>
    <w:rsid w:val="003B2B21"/>
    <w:rsid w:val="003B3138"/>
    <w:rsid w:val="003B3402"/>
    <w:rsid w:val="003B3746"/>
    <w:rsid w:val="003B3C75"/>
    <w:rsid w:val="003B3CDD"/>
    <w:rsid w:val="003B3E23"/>
    <w:rsid w:val="003B4186"/>
    <w:rsid w:val="003B4234"/>
    <w:rsid w:val="003B47F4"/>
    <w:rsid w:val="003B49BA"/>
    <w:rsid w:val="003B53FF"/>
    <w:rsid w:val="003B5BE7"/>
    <w:rsid w:val="003B61B8"/>
    <w:rsid w:val="003B64CA"/>
    <w:rsid w:val="003B72CA"/>
    <w:rsid w:val="003B7316"/>
    <w:rsid w:val="003B7434"/>
    <w:rsid w:val="003B75B7"/>
    <w:rsid w:val="003B7D95"/>
    <w:rsid w:val="003B7ECE"/>
    <w:rsid w:val="003B7F67"/>
    <w:rsid w:val="003C007A"/>
    <w:rsid w:val="003C05E3"/>
    <w:rsid w:val="003C067C"/>
    <w:rsid w:val="003C0EA4"/>
    <w:rsid w:val="003C12E0"/>
    <w:rsid w:val="003C12FE"/>
    <w:rsid w:val="003C15A4"/>
    <w:rsid w:val="003C1627"/>
    <w:rsid w:val="003C16E0"/>
    <w:rsid w:val="003C29BF"/>
    <w:rsid w:val="003C38A5"/>
    <w:rsid w:val="003C38C9"/>
    <w:rsid w:val="003C3ABA"/>
    <w:rsid w:val="003C4138"/>
    <w:rsid w:val="003C450D"/>
    <w:rsid w:val="003C4CB8"/>
    <w:rsid w:val="003C523B"/>
    <w:rsid w:val="003C562F"/>
    <w:rsid w:val="003C5833"/>
    <w:rsid w:val="003C594E"/>
    <w:rsid w:val="003C59AA"/>
    <w:rsid w:val="003C5BF4"/>
    <w:rsid w:val="003C5EE8"/>
    <w:rsid w:val="003C613B"/>
    <w:rsid w:val="003C6329"/>
    <w:rsid w:val="003C6A47"/>
    <w:rsid w:val="003C6D22"/>
    <w:rsid w:val="003C6F2D"/>
    <w:rsid w:val="003C7441"/>
    <w:rsid w:val="003C76D4"/>
    <w:rsid w:val="003C78ED"/>
    <w:rsid w:val="003C7BBF"/>
    <w:rsid w:val="003C7C43"/>
    <w:rsid w:val="003D0012"/>
    <w:rsid w:val="003D01DD"/>
    <w:rsid w:val="003D03FD"/>
    <w:rsid w:val="003D08FC"/>
    <w:rsid w:val="003D0A7A"/>
    <w:rsid w:val="003D0B73"/>
    <w:rsid w:val="003D207A"/>
    <w:rsid w:val="003D2159"/>
    <w:rsid w:val="003D29B8"/>
    <w:rsid w:val="003D2D0A"/>
    <w:rsid w:val="003D2EDF"/>
    <w:rsid w:val="003D3108"/>
    <w:rsid w:val="003D369B"/>
    <w:rsid w:val="003D3AA4"/>
    <w:rsid w:val="003D3AAA"/>
    <w:rsid w:val="003D4003"/>
    <w:rsid w:val="003D4448"/>
    <w:rsid w:val="003D5470"/>
    <w:rsid w:val="003D55F1"/>
    <w:rsid w:val="003D5AA2"/>
    <w:rsid w:val="003D603C"/>
    <w:rsid w:val="003D66B0"/>
    <w:rsid w:val="003D695E"/>
    <w:rsid w:val="003D6A31"/>
    <w:rsid w:val="003D70CA"/>
    <w:rsid w:val="003D763E"/>
    <w:rsid w:val="003D7C9E"/>
    <w:rsid w:val="003D7D1D"/>
    <w:rsid w:val="003D7F77"/>
    <w:rsid w:val="003D7FEC"/>
    <w:rsid w:val="003E0CAF"/>
    <w:rsid w:val="003E0F01"/>
    <w:rsid w:val="003E0FF7"/>
    <w:rsid w:val="003E1F16"/>
    <w:rsid w:val="003E24A6"/>
    <w:rsid w:val="003E283F"/>
    <w:rsid w:val="003E2BD5"/>
    <w:rsid w:val="003E3105"/>
    <w:rsid w:val="003E31FD"/>
    <w:rsid w:val="003E369C"/>
    <w:rsid w:val="003E39E4"/>
    <w:rsid w:val="003E3A60"/>
    <w:rsid w:val="003E3DF0"/>
    <w:rsid w:val="003E3F87"/>
    <w:rsid w:val="003E47A7"/>
    <w:rsid w:val="003E47F0"/>
    <w:rsid w:val="003E4DB2"/>
    <w:rsid w:val="003E51B4"/>
    <w:rsid w:val="003E5C2F"/>
    <w:rsid w:val="003E6461"/>
    <w:rsid w:val="003E64FF"/>
    <w:rsid w:val="003E6521"/>
    <w:rsid w:val="003E65AD"/>
    <w:rsid w:val="003E6715"/>
    <w:rsid w:val="003E752A"/>
    <w:rsid w:val="003E75DD"/>
    <w:rsid w:val="003E781B"/>
    <w:rsid w:val="003E78CD"/>
    <w:rsid w:val="003E7F40"/>
    <w:rsid w:val="003F03D0"/>
    <w:rsid w:val="003F0D6B"/>
    <w:rsid w:val="003F0E76"/>
    <w:rsid w:val="003F1DD1"/>
    <w:rsid w:val="003F2436"/>
    <w:rsid w:val="003F2624"/>
    <w:rsid w:val="003F2B8D"/>
    <w:rsid w:val="003F33B8"/>
    <w:rsid w:val="003F3B0D"/>
    <w:rsid w:val="003F3C2A"/>
    <w:rsid w:val="003F40C3"/>
    <w:rsid w:val="003F5345"/>
    <w:rsid w:val="003F6083"/>
    <w:rsid w:val="003F653E"/>
    <w:rsid w:val="003F6721"/>
    <w:rsid w:val="003F67A9"/>
    <w:rsid w:val="003F6819"/>
    <w:rsid w:val="003F72F8"/>
    <w:rsid w:val="003F7428"/>
    <w:rsid w:val="003F75ED"/>
    <w:rsid w:val="003F77CF"/>
    <w:rsid w:val="003F7EB0"/>
    <w:rsid w:val="003F7F89"/>
    <w:rsid w:val="0040031D"/>
    <w:rsid w:val="00400495"/>
    <w:rsid w:val="00400CC7"/>
    <w:rsid w:val="00401369"/>
    <w:rsid w:val="00401700"/>
    <w:rsid w:val="00401758"/>
    <w:rsid w:val="004018A3"/>
    <w:rsid w:val="00401A5A"/>
    <w:rsid w:val="00401BFA"/>
    <w:rsid w:val="00401D56"/>
    <w:rsid w:val="0040257A"/>
    <w:rsid w:val="00402A14"/>
    <w:rsid w:val="00402B87"/>
    <w:rsid w:val="00402CBF"/>
    <w:rsid w:val="00402F00"/>
    <w:rsid w:val="00404603"/>
    <w:rsid w:val="00404D69"/>
    <w:rsid w:val="00404F97"/>
    <w:rsid w:val="0040522D"/>
    <w:rsid w:val="00405F4A"/>
    <w:rsid w:val="00407287"/>
    <w:rsid w:val="004077D7"/>
    <w:rsid w:val="00410B12"/>
    <w:rsid w:val="00410B6E"/>
    <w:rsid w:val="00410CDA"/>
    <w:rsid w:val="00412204"/>
    <w:rsid w:val="0041264F"/>
    <w:rsid w:val="00412831"/>
    <w:rsid w:val="00412C0C"/>
    <w:rsid w:val="00412D75"/>
    <w:rsid w:val="00412F68"/>
    <w:rsid w:val="00413021"/>
    <w:rsid w:val="004133D1"/>
    <w:rsid w:val="004137C0"/>
    <w:rsid w:val="00413886"/>
    <w:rsid w:val="004140FF"/>
    <w:rsid w:val="00414774"/>
    <w:rsid w:val="0041482B"/>
    <w:rsid w:val="00414E28"/>
    <w:rsid w:val="0041516C"/>
    <w:rsid w:val="00415770"/>
    <w:rsid w:val="004157A1"/>
    <w:rsid w:val="00415932"/>
    <w:rsid w:val="00415FA7"/>
    <w:rsid w:val="00416AA0"/>
    <w:rsid w:val="00416B39"/>
    <w:rsid w:val="00416CB7"/>
    <w:rsid w:val="00416D1C"/>
    <w:rsid w:val="004172FC"/>
    <w:rsid w:val="004179A3"/>
    <w:rsid w:val="00420C11"/>
    <w:rsid w:val="00420CF0"/>
    <w:rsid w:val="0042121F"/>
    <w:rsid w:val="00421988"/>
    <w:rsid w:val="00421D86"/>
    <w:rsid w:val="0042256F"/>
    <w:rsid w:val="004228AE"/>
    <w:rsid w:val="004229A3"/>
    <w:rsid w:val="00422ADF"/>
    <w:rsid w:val="00422B03"/>
    <w:rsid w:val="00422BCB"/>
    <w:rsid w:val="00422CEE"/>
    <w:rsid w:val="00422D83"/>
    <w:rsid w:val="004230F3"/>
    <w:rsid w:val="0042346A"/>
    <w:rsid w:val="0042361D"/>
    <w:rsid w:val="0042367C"/>
    <w:rsid w:val="0042377C"/>
    <w:rsid w:val="004238DA"/>
    <w:rsid w:val="00423C52"/>
    <w:rsid w:val="0042404B"/>
    <w:rsid w:val="00424484"/>
    <w:rsid w:val="00424DBF"/>
    <w:rsid w:val="00425CB0"/>
    <w:rsid w:val="0042609F"/>
    <w:rsid w:val="0042612A"/>
    <w:rsid w:val="004265B7"/>
    <w:rsid w:val="004275AE"/>
    <w:rsid w:val="00427A46"/>
    <w:rsid w:val="00427B8F"/>
    <w:rsid w:val="00430405"/>
    <w:rsid w:val="00431080"/>
    <w:rsid w:val="00431972"/>
    <w:rsid w:val="00432044"/>
    <w:rsid w:val="00432355"/>
    <w:rsid w:val="0043240F"/>
    <w:rsid w:val="004326DB"/>
    <w:rsid w:val="004328DC"/>
    <w:rsid w:val="00432E79"/>
    <w:rsid w:val="00433595"/>
    <w:rsid w:val="00433911"/>
    <w:rsid w:val="00433AF9"/>
    <w:rsid w:val="00433B2E"/>
    <w:rsid w:val="00433C3B"/>
    <w:rsid w:val="00433D07"/>
    <w:rsid w:val="00433E2D"/>
    <w:rsid w:val="004347E9"/>
    <w:rsid w:val="00435F52"/>
    <w:rsid w:val="00436808"/>
    <w:rsid w:val="00436923"/>
    <w:rsid w:val="00436F00"/>
    <w:rsid w:val="004379D5"/>
    <w:rsid w:val="00437ADB"/>
    <w:rsid w:val="00437E43"/>
    <w:rsid w:val="00440004"/>
    <w:rsid w:val="004400E4"/>
    <w:rsid w:val="0044011C"/>
    <w:rsid w:val="004401FC"/>
    <w:rsid w:val="00440483"/>
    <w:rsid w:val="00440E5E"/>
    <w:rsid w:val="00441635"/>
    <w:rsid w:val="004418FB"/>
    <w:rsid w:val="00441B5C"/>
    <w:rsid w:val="0044208F"/>
    <w:rsid w:val="004420AC"/>
    <w:rsid w:val="004422AA"/>
    <w:rsid w:val="004425D5"/>
    <w:rsid w:val="004429D9"/>
    <w:rsid w:val="00442DC7"/>
    <w:rsid w:val="00443448"/>
    <w:rsid w:val="004436A7"/>
    <w:rsid w:val="00443917"/>
    <w:rsid w:val="00443A99"/>
    <w:rsid w:val="00443AB1"/>
    <w:rsid w:val="00444935"/>
    <w:rsid w:val="00444ACF"/>
    <w:rsid w:val="00444F51"/>
    <w:rsid w:val="00445270"/>
    <w:rsid w:val="0044542D"/>
    <w:rsid w:val="00445A96"/>
    <w:rsid w:val="004467D8"/>
    <w:rsid w:val="00446902"/>
    <w:rsid w:val="00446A4A"/>
    <w:rsid w:val="00446E18"/>
    <w:rsid w:val="00447F9A"/>
    <w:rsid w:val="00450356"/>
    <w:rsid w:val="0045046E"/>
    <w:rsid w:val="00450E12"/>
    <w:rsid w:val="00451172"/>
    <w:rsid w:val="004511EC"/>
    <w:rsid w:val="00452507"/>
    <w:rsid w:val="0045254E"/>
    <w:rsid w:val="004526AD"/>
    <w:rsid w:val="0045295A"/>
    <w:rsid w:val="00452A84"/>
    <w:rsid w:val="00452B1A"/>
    <w:rsid w:val="00452EA5"/>
    <w:rsid w:val="00453826"/>
    <w:rsid w:val="00453A24"/>
    <w:rsid w:val="00453B6B"/>
    <w:rsid w:val="00453C6E"/>
    <w:rsid w:val="00453E23"/>
    <w:rsid w:val="00453FC7"/>
    <w:rsid w:val="00454103"/>
    <w:rsid w:val="0045413F"/>
    <w:rsid w:val="004542C7"/>
    <w:rsid w:val="0045483C"/>
    <w:rsid w:val="0045487B"/>
    <w:rsid w:val="00454C99"/>
    <w:rsid w:val="0045533C"/>
    <w:rsid w:val="00455546"/>
    <w:rsid w:val="00455EB0"/>
    <w:rsid w:val="00456420"/>
    <w:rsid w:val="004568B7"/>
    <w:rsid w:val="00457015"/>
    <w:rsid w:val="00457F65"/>
    <w:rsid w:val="004606BE"/>
    <w:rsid w:val="00460A66"/>
    <w:rsid w:val="00460E03"/>
    <w:rsid w:val="00461055"/>
    <w:rsid w:val="00461328"/>
    <w:rsid w:val="00461824"/>
    <w:rsid w:val="00461DE9"/>
    <w:rsid w:val="004622F5"/>
    <w:rsid w:val="004624E3"/>
    <w:rsid w:val="00462939"/>
    <w:rsid w:val="0046294F"/>
    <w:rsid w:val="00462DDC"/>
    <w:rsid w:val="00462EC9"/>
    <w:rsid w:val="00463011"/>
    <w:rsid w:val="0046318B"/>
    <w:rsid w:val="00463F53"/>
    <w:rsid w:val="00464117"/>
    <w:rsid w:val="00464BF4"/>
    <w:rsid w:val="00465061"/>
    <w:rsid w:val="004656DF"/>
    <w:rsid w:val="00466664"/>
    <w:rsid w:val="00466B9B"/>
    <w:rsid w:val="00466F46"/>
    <w:rsid w:val="00466FD7"/>
    <w:rsid w:val="004672E2"/>
    <w:rsid w:val="00467418"/>
    <w:rsid w:val="004677E5"/>
    <w:rsid w:val="004702D6"/>
    <w:rsid w:val="00470AD2"/>
    <w:rsid w:val="00470D79"/>
    <w:rsid w:val="0047121C"/>
    <w:rsid w:val="004713F8"/>
    <w:rsid w:val="004715B9"/>
    <w:rsid w:val="00471C1D"/>
    <w:rsid w:val="004720E4"/>
    <w:rsid w:val="004726DA"/>
    <w:rsid w:val="00472AF2"/>
    <w:rsid w:val="00472C67"/>
    <w:rsid w:val="004731B1"/>
    <w:rsid w:val="00473390"/>
    <w:rsid w:val="00473499"/>
    <w:rsid w:val="0047395E"/>
    <w:rsid w:val="00474022"/>
    <w:rsid w:val="00474296"/>
    <w:rsid w:val="004756D9"/>
    <w:rsid w:val="00475750"/>
    <w:rsid w:val="004758B6"/>
    <w:rsid w:val="00475FB6"/>
    <w:rsid w:val="00476133"/>
    <w:rsid w:val="004768DE"/>
    <w:rsid w:val="00476B66"/>
    <w:rsid w:val="00476C2E"/>
    <w:rsid w:val="004773AC"/>
    <w:rsid w:val="004773B1"/>
    <w:rsid w:val="00477740"/>
    <w:rsid w:val="0048002B"/>
    <w:rsid w:val="0048046E"/>
    <w:rsid w:val="00481265"/>
    <w:rsid w:val="004812AC"/>
    <w:rsid w:val="00481981"/>
    <w:rsid w:val="00482187"/>
    <w:rsid w:val="0048277B"/>
    <w:rsid w:val="00482C1F"/>
    <w:rsid w:val="004837A7"/>
    <w:rsid w:val="004840C0"/>
    <w:rsid w:val="0048539F"/>
    <w:rsid w:val="004853AF"/>
    <w:rsid w:val="004856B7"/>
    <w:rsid w:val="00485921"/>
    <w:rsid w:val="004863FB"/>
    <w:rsid w:val="004865DB"/>
    <w:rsid w:val="00486D61"/>
    <w:rsid w:val="004870E3"/>
    <w:rsid w:val="0048783C"/>
    <w:rsid w:val="00487999"/>
    <w:rsid w:val="00487D54"/>
    <w:rsid w:val="00487FB9"/>
    <w:rsid w:val="00487FDC"/>
    <w:rsid w:val="004905C2"/>
    <w:rsid w:val="004906EA"/>
    <w:rsid w:val="00490703"/>
    <w:rsid w:val="004908FC"/>
    <w:rsid w:val="00490F53"/>
    <w:rsid w:val="004911E8"/>
    <w:rsid w:val="00491CB6"/>
    <w:rsid w:val="00491DCE"/>
    <w:rsid w:val="00491F33"/>
    <w:rsid w:val="0049216B"/>
    <w:rsid w:val="00492350"/>
    <w:rsid w:val="004925F7"/>
    <w:rsid w:val="0049272D"/>
    <w:rsid w:val="004927BE"/>
    <w:rsid w:val="00492AB8"/>
    <w:rsid w:val="00493434"/>
    <w:rsid w:val="00493470"/>
    <w:rsid w:val="004946E1"/>
    <w:rsid w:val="00494908"/>
    <w:rsid w:val="004949BA"/>
    <w:rsid w:val="00494C79"/>
    <w:rsid w:val="004954FF"/>
    <w:rsid w:val="00495879"/>
    <w:rsid w:val="004961E3"/>
    <w:rsid w:val="0049640C"/>
    <w:rsid w:val="004968F5"/>
    <w:rsid w:val="00496FC3"/>
    <w:rsid w:val="0049753F"/>
    <w:rsid w:val="004978FC"/>
    <w:rsid w:val="004A00E1"/>
    <w:rsid w:val="004A0FA6"/>
    <w:rsid w:val="004A13BC"/>
    <w:rsid w:val="004A1445"/>
    <w:rsid w:val="004A1B2D"/>
    <w:rsid w:val="004A1EE9"/>
    <w:rsid w:val="004A20E4"/>
    <w:rsid w:val="004A219E"/>
    <w:rsid w:val="004A2605"/>
    <w:rsid w:val="004A2816"/>
    <w:rsid w:val="004A3029"/>
    <w:rsid w:val="004A3184"/>
    <w:rsid w:val="004A32C6"/>
    <w:rsid w:val="004A34F0"/>
    <w:rsid w:val="004A367D"/>
    <w:rsid w:val="004A41BB"/>
    <w:rsid w:val="004A42BE"/>
    <w:rsid w:val="004A4537"/>
    <w:rsid w:val="004A46CA"/>
    <w:rsid w:val="004A4C5F"/>
    <w:rsid w:val="004A4E8A"/>
    <w:rsid w:val="004A51B8"/>
    <w:rsid w:val="004A5521"/>
    <w:rsid w:val="004A5944"/>
    <w:rsid w:val="004A5FCE"/>
    <w:rsid w:val="004A6363"/>
    <w:rsid w:val="004A642A"/>
    <w:rsid w:val="004A64EE"/>
    <w:rsid w:val="004A6522"/>
    <w:rsid w:val="004A665C"/>
    <w:rsid w:val="004A695F"/>
    <w:rsid w:val="004A6B4C"/>
    <w:rsid w:val="004A774A"/>
    <w:rsid w:val="004A7B21"/>
    <w:rsid w:val="004B0647"/>
    <w:rsid w:val="004B064A"/>
    <w:rsid w:val="004B0D5D"/>
    <w:rsid w:val="004B0DC6"/>
    <w:rsid w:val="004B1605"/>
    <w:rsid w:val="004B1B7F"/>
    <w:rsid w:val="004B1D36"/>
    <w:rsid w:val="004B23F3"/>
    <w:rsid w:val="004B28DC"/>
    <w:rsid w:val="004B2B15"/>
    <w:rsid w:val="004B2FE6"/>
    <w:rsid w:val="004B3084"/>
    <w:rsid w:val="004B3BC0"/>
    <w:rsid w:val="004B3BE9"/>
    <w:rsid w:val="004B3C22"/>
    <w:rsid w:val="004B3F81"/>
    <w:rsid w:val="004B40BF"/>
    <w:rsid w:val="004B4262"/>
    <w:rsid w:val="004B44F1"/>
    <w:rsid w:val="004B4646"/>
    <w:rsid w:val="004B54BA"/>
    <w:rsid w:val="004B54E2"/>
    <w:rsid w:val="004B58D8"/>
    <w:rsid w:val="004B5C8E"/>
    <w:rsid w:val="004B643E"/>
    <w:rsid w:val="004B6785"/>
    <w:rsid w:val="004B67D7"/>
    <w:rsid w:val="004B6BA4"/>
    <w:rsid w:val="004B6BC7"/>
    <w:rsid w:val="004B6C79"/>
    <w:rsid w:val="004B7047"/>
    <w:rsid w:val="004B7092"/>
    <w:rsid w:val="004B7DE7"/>
    <w:rsid w:val="004C007E"/>
    <w:rsid w:val="004C050F"/>
    <w:rsid w:val="004C05CC"/>
    <w:rsid w:val="004C07A9"/>
    <w:rsid w:val="004C131D"/>
    <w:rsid w:val="004C133D"/>
    <w:rsid w:val="004C143D"/>
    <w:rsid w:val="004C160C"/>
    <w:rsid w:val="004C16AA"/>
    <w:rsid w:val="004C1BA5"/>
    <w:rsid w:val="004C21C9"/>
    <w:rsid w:val="004C2356"/>
    <w:rsid w:val="004C24E0"/>
    <w:rsid w:val="004C259D"/>
    <w:rsid w:val="004C26D3"/>
    <w:rsid w:val="004C281B"/>
    <w:rsid w:val="004C2C78"/>
    <w:rsid w:val="004C2E46"/>
    <w:rsid w:val="004C3279"/>
    <w:rsid w:val="004C327B"/>
    <w:rsid w:val="004C3719"/>
    <w:rsid w:val="004C3730"/>
    <w:rsid w:val="004C3CFA"/>
    <w:rsid w:val="004C45D1"/>
    <w:rsid w:val="004C4FEA"/>
    <w:rsid w:val="004C52CC"/>
    <w:rsid w:val="004C54FA"/>
    <w:rsid w:val="004C5584"/>
    <w:rsid w:val="004C5665"/>
    <w:rsid w:val="004C56CE"/>
    <w:rsid w:val="004C587A"/>
    <w:rsid w:val="004C5B3D"/>
    <w:rsid w:val="004C5D0B"/>
    <w:rsid w:val="004C62D9"/>
    <w:rsid w:val="004C6D02"/>
    <w:rsid w:val="004C74A5"/>
    <w:rsid w:val="004C769F"/>
    <w:rsid w:val="004D0443"/>
    <w:rsid w:val="004D06A2"/>
    <w:rsid w:val="004D0B50"/>
    <w:rsid w:val="004D0F08"/>
    <w:rsid w:val="004D0F2C"/>
    <w:rsid w:val="004D1D3E"/>
    <w:rsid w:val="004D2197"/>
    <w:rsid w:val="004D241B"/>
    <w:rsid w:val="004D2AED"/>
    <w:rsid w:val="004D2DCF"/>
    <w:rsid w:val="004D2E18"/>
    <w:rsid w:val="004D3274"/>
    <w:rsid w:val="004D342A"/>
    <w:rsid w:val="004D34D3"/>
    <w:rsid w:val="004D3866"/>
    <w:rsid w:val="004D38AD"/>
    <w:rsid w:val="004D40BB"/>
    <w:rsid w:val="004D4A73"/>
    <w:rsid w:val="004D4BCC"/>
    <w:rsid w:val="004D4CE4"/>
    <w:rsid w:val="004D522D"/>
    <w:rsid w:val="004D5459"/>
    <w:rsid w:val="004D5D9D"/>
    <w:rsid w:val="004D60B2"/>
    <w:rsid w:val="004D65CD"/>
    <w:rsid w:val="004D68AE"/>
    <w:rsid w:val="004D6A24"/>
    <w:rsid w:val="004D6CB4"/>
    <w:rsid w:val="004D6CE0"/>
    <w:rsid w:val="004D6EB8"/>
    <w:rsid w:val="004D6FE8"/>
    <w:rsid w:val="004D70B8"/>
    <w:rsid w:val="004D70FE"/>
    <w:rsid w:val="004D72A8"/>
    <w:rsid w:val="004D7578"/>
    <w:rsid w:val="004D7BC1"/>
    <w:rsid w:val="004D7FBF"/>
    <w:rsid w:val="004E03BE"/>
    <w:rsid w:val="004E0BB6"/>
    <w:rsid w:val="004E0BE5"/>
    <w:rsid w:val="004E0DD4"/>
    <w:rsid w:val="004E10A1"/>
    <w:rsid w:val="004E1A9F"/>
    <w:rsid w:val="004E2017"/>
    <w:rsid w:val="004E2D24"/>
    <w:rsid w:val="004E330B"/>
    <w:rsid w:val="004E3F7D"/>
    <w:rsid w:val="004E44C6"/>
    <w:rsid w:val="004E57C5"/>
    <w:rsid w:val="004E59C8"/>
    <w:rsid w:val="004E5B11"/>
    <w:rsid w:val="004E602F"/>
    <w:rsid w:val="004E60D3"/>
    <w:rsid w:val="004E698C"/>
    <w:rsid w:val="004E6CF7"/>
    <w:rsid w:val="004E6D98"/>
    <w:rsid w:val="004E6DF1"/>
    <w:rsid w:val="004E7CDC"/>
    <w:rsid w:val="004F0965"/>
    <w:rsid w:val="004F0B02"/>
    <w:rsid w:val="004F0E02"/>
    <w:rsid w:val="004F10A7"/>
    <w:rsid w:val="004F10CA"/>
    <w:rsid w:val="004F1401"/>
    <w:rsid w:val="004F1FD2"/>
    <w:rsid w:val="004F2199"/>
    <w:rsid w:val="004F2258"/>
    <w:rsid w:val="004F3821"/>
    <w:rsid w:val="004F470A"/>
    <w:rsid w:val="004F4768"/>
    <w:rsid w:val="004F47A7"/>
    <w:rsid w:val="004F4C37"/>
    <w:rsid w:val="004F4E2A"/>
    <w:rsid w:val="004F4EA0"/>
    <w:rsid w:val="004F540C"/>
    <w:rsid w:val="004F57BB"/>
    <w:rsid w:val="004F5D8F"/>
    <w:rsid w:val="004F5F19"/>
    <w:rsid w:val="004F674A"/>
    <w:rsid w:val="004F692D"/>
    <w:rsid w:val="004F6A81"/>
    <w:rsid w:val="004F6CB1"/>
    <w:rsid w:val="004F6FC8"/>
    <w:rsid w:val="004F7F89"/>
    <w:rsid w:val="0050120E"/>
    <w:rsid w:val="00501310"/>
    <w:rsid w:val="005016B7"/>
    <w:rsid w:val="005018AC"/>
    <w:rsid w:val="00501C4B"/>
    <w:rsid w:val="00502187"/>
    <w:rsid w:val="005021C5"/>
    <w:rsid w:val="00502375"/>
    <w:rsid w:val="00502497"/>
    <w:rsid w:val="005024B6"/>
    <w:rsid w:val="00502832"/>
    <w:rsid w:val="00503353"/>
    <w:rsid w:val="00503FCE"/>
    <w:rsid w:val="00503FD6"/>
    <w:rsid w:val="0050402E"/>
    <w:rsid w:val="005043C2"/>
    <w:rsid w:val="00504E4B"/>
    <w:rsid w:val="00505C5C"/>
    <w:rsid w:val="00506D33"/>
    <w:rsid w:val="005072F2"/>
    <w:rsid w:val="005077DF"/>
    <w:rsid w:val="0050794E"/>
    <w:rsid w:val="00507AF5"/>
    <w:rsid w:val="00507BD2"/>
    <w:rsid w:val="00507F2F"/>
    <w:rsid w:val="00510228"/>
    <w:rsid w:val="005104DD"/>
    <w:rsid w:val="0051055B"/>
    <w:rsid w:val="005109CE"/>
    <w:rsid w:val="005109E6"/>
    <w:rsid w:val="00510A02"/>
    <w:rsid w:val="0051107A"/>
    <w:rsid w:val="00511130"/>
    <w:rsid w:val="00511628"/>
    <w:rsid w:val="00511B62"/>
    <w:rsid w:val="005122F0"/>
    <w:rsid w:val="005125B6"/>
    <w:rsid w:val="0051266E"/>
    <w:rsid w:val="00512721"/>
    <w:rsid w:val="005141C2"/>
    <w:rsid w:val="005144BE"/>
    <w:rsid w:val="00514AA9"/>
    <w:rsid w:val="00514DEE"/>
    <w:rsid w:val="00514EE5"/>
    <w:rsid w:val="00515149"/>
    <w:rsid w:val="005155E5"/>
    <w:rsid w:val="005160A5"/>
    <w:rsid w:val="00516128"/>
    <w:rsid w:val="0051630E"/>
    <w:rsid w:val="005163B1"/>
    <w:rsid w:val="0051652B"/>
    <w:rsid w:val="00516636"/>
    <w:rsid w:val="005166A8"/>
    <w:rsid w:val="00516EEA"/>
    <w:rsid w:val="0051702C"/>
    <w:rsid w:val="00517107"/>
    <w:rsid w:val="005172F2"/>
    <w:rsid w:val="0051738D"/>
    <w:rsid w:val="00517E21"/>
    <w:rsid w:val="00520190"/>
    <w:rsid w:val="005201AC"/>
    <w:rsid w:val="005201BC"/>
    <w:rsid w:val="00520CE4"/>
    <w:rsid w:val="00520EB9"/>
    <w:rsid w:val="005211D1"/>
    <w:rsid w:val="00521453"/>
    <w:rsid w:val="00521B94"/>
    <w:rsid w:val="00522CB4"/>
    <w:rsid w:val="005230CE"/>
    <w:rsid w:val="005231EB"/>
    <w:rsid w:val="0052375C"/>
    <w:rsid w:val="0052391E"/>
    <w:rsid w:val="00523C0B"/>
    <w:rsid w:val="00523EBD"/>
    <w:rsid w:val="0052500D"/>
    <w:rsid w:val="00525260"/>
    <w:rsid w:val="00525298"/>
    <w:rsid w:val="00525787"/>
    <w:rsid w:val="005259E1"/>
    <w:rsid w:val="00525A33"/>
    <w:rsid w:val="00525A92"/>
    <w:rsid w:val="00525AF8"/>
    <w:rsid w:val="00525C5C"/>
    <w:rsid w:val="005267AA"/>
    <w:rsid w:val="00526BFD"/>
    <w:rsid w:val="005274D5"/>
    <w:rsid w:val="005279DD"/>
    <w:rsid w:val="00527BBF"/>
    <w:rsid w:val="005300A2"/>
    <w:rsid w:val="00530291"/>
    <w:rsid w:val="0053035E"/>
    <w:rsid w:val="005309D8"/>
    <w:rsid w:val="00530B53"/>
    <w:rsid w:val="00530C2B"/>
    <w:rsid w:val="00530CF2"/>
    <w:rsid w:val="00531374"/>
    <w:rsid w:val="005314D7"/>
    <w:rsid w:val="005318DE"/>
    <w:rsid w:val="00531FF0"/>
    <w:rsid w:val="005321DF"/>
    <w:rsid w:val="005327CF"/>
    <w:rsid w:val="00532D2F"/>
    <w:rsid w:val="00532D3F"/>
    <w:rsid w:val="00532FF5"/>
    <w:rsid w:val="00533114"/>
    <w:rsid w:val="0053317E"/>
    <w:rsid w:val="005337CE"/>
    <w:rsid w:val="00534301"/>
    <w:rsid w:val="005353B2"/>
    <w:rsid w:val="005363E6"/>
    <w:rsid w:val="005374DF"/>
    <w:rsid w:val="00537DF9"/>
    <w:rsid w:val="00537E08"/>
    <w:rsid w:val="00540430"/>
    <w:rsid w:val="0054086C"/>
    <w:rsid w:val="00540BBB"/>
    <w:rsid w:val="00541FBB"/>
    <w:rsid w:val="005425F1"/>
    <w:rsid w:val="00542C2B"/>
    <w:rsid w:val="00542CB4"/>
    <w:rsid w:val="0054319B"/>
    <w:rsid w:val="00543525"/>
    <w:rsid w:val="00543D76"/>
    <w:rsid w:val="00543F5D"/>
    <w:rsid w:val="005447C6"/>
    <w:rsid w:val="005456D0"/>
    <w:rsid w:val="005459A2"/>
    <w:rsid w:val="00545B0D"/>
    <w:rsid w:val="00546216"/>
    <w:rsid w:val="00546BC3"/>
    <w:rsid w:val="00547236"/>
    <w:rsid w:val="0054736D"/>
    <w:rsid w:val="0054744A"/>
    <w:rsid w:val="00547578"/>
    <w:rsid w:val="005478A9"/>
    <w:rsid w:val="00547F13"/>
    <w:rsid w:val="00547F5B"/>
    <w:rsid w:val="0055071F"/>
    <w:rsid w:val="0055077C"/>
    <w:rsid w:val="00550E8E"/>
    <w:rsid w:val="00551302"/>
    <w:rsid w:val="0055219F"/>
    <w:rsid w:val="005521C5"/>
    <w:rsid w:val="00552550"/>
    <w:rsid w:val="005527CA"/>
    <w:rsid w:val="00552AE8"/>
    <w:rsid w:val="00552CC9"/>
    <w:rsid w:val="005531B1"/>
    <w:rsid w:val="00553961"/>
    <w:rsid w:val="00554808"/>
    <w:rsid w:val="00554ADB"/>
    <w:rsid w:val="005550C3"/>
    <w:rsid w:val="00555216"/>
    <w:rsid w:val="005555D5"/>
    <w:rsid w:val="005558B6"/>
    <w:rsid w:val="00555A7E"/>
    <w:rsid w:val="00555D75"/>
    <w:rsid w:val="00555DAF"/>
    <w:rsid w:val="00556597"/>
    <w:rsid w:val="00557519"/>
    <w:rsid w:val="005600D8"/>
    <w:rsid w:val="00560B30"/>
    <w:rsid w:val="00560CDB"/>
    <w:rsid w:val="00560D22"/>
    <w:rsid w:val="00560EEA"/>
    <w:rsid w:val="00560F0C"/>
    <w:rsid w:val="00560FE7"/>
    <w:rsid w:val="00561108"/>
    <w:rsid w:val="005616E2"/>
    <w:rsid w:val="0056173E"/>
    <w:rsid w:val="00561926"/>
    <w:rsid w:val="00561967"/>
    <w:rsid w:val="00561ACE"/>
    <w:rsid w:val="005621F8"/>
    <w:rsid w:val="00562513"/>
    <w:rsid w:val="00562669"/>
    <w:rsid w:val="00562857"/>
    <w:rsid w:val="005628A6"/>
    <w:rsid w:val="005630A7"/>
    <w:rsid w:val="00563C4E"/>
    <w:rsid w:val="00563CA6"/>
    <w:rsid w:val="00563F9F"/>
    <w:rsid w:val="00564307"/>
    <w:rsid w:val="005643D0"/>
    <w:rsid w:val="005645A3"/>
    <w:rsid w:val="00565908"/>
    <w:rsid w:val="00565960"/>
    <w:rsid w:val="00565B82"/>
    <w:rsid w:val="00565F53"/>
    <w:rsid w:val="00565FF7"/>
    <w:rsid w:val="00566897"/>
    <w:rsid w:val="0056700B"/>
    <w:rsid w:val="005670D7"/>
    <w:rsid w:val="00567104"/>
    <w:rsid w:val="005701B8"/>
    <w:rsid w:val="00570746"/>
    <w:rsid w:val="00570CF2"/>
    <w:rsid w:val="00571129"/>
    <w:rsid w:val="005711B3"/>
    <w:rsid w:val="005714A2"/>
    <w:rsid w:val="005714AA"/>
    <w:rsid w:val="00571634"/>
    <w:rsid w:val="00571982"/>
    <w:rsid w:val="005719C6"/>
    <w:rsid w:val="00571B18"/>
    <w:rsid w:val="00571FD6"/>
    <w:rsid w:val="005723A4"/>
    <w:rsid w:val="00572438"/>
    <w:rsid w:val="00572A31"/>
    <w:rsid w:val="00573269"/>
    <w:rsid w:val="00573340"/>
    <w:rsid w:val="0057371B"/>
    <w:rsid w:val="00573813"/>
    <w:rsid w:val="00573A68"/>
    <w:rsid w:val="00573AB0"/>
    <w:rsid w:val="00573D3A"/>
    <w:rsid w:val="0057478C"/>
    <w:rsid w:val="00574C67"/>
    <w:rsid w:val="005751A0"/>
    <w:rsid w:val="00575260"/>
    <w:rsid w:val="00575324"/>
    <w:rsid w:val="00575AAF"/>
    <w:rsid w:val="00575C0E"/>
    <w:rsid w:val="005769D4"/>
    <w:rsid w:val="00576BB2"/>
    <w:rsid w:val="00576D28"/>
    <w:rsid w:val="00576EA4"/>
    <w:rsid w:val="00576EF9"/>
    <w:rsid w:val="00576F5F"/>
    <w:rsid w:val="0057748B"/>
    <w:rsid w:val="00577534"/>
    <w:rsid w:val="00577838"/>
    <w:rsid w:val="00577B13"/>
    <w:rsid w:val="00577E16"/>
    <w:rsid w:val="00580006"/>
    <w:rsid w:val="0058047C"/>
    <w:rsid w:val="005804E0"/>
    <w:rsid w:val="00580C8D"/>
    <w:rsid w:val="00580D30"/>
    <w:rsid w:val="00580F31"/>
    <w:rsid w:val="00581160"/>
    <w:rsid w:val="0058156A"/>
    <w:rsid w:val="00581705"/>
    <w:rsid w:val="00581960"/>
    <w:rsid w:val="00581DDB"/>
    <w:rsid w:val="00581F09"/>
    <w:rsid w:val="005820FB"/>
    <w:rsid w:val="0058235D"/>
    <w:rsid w:val="005823DC"/>
    <w:rsid w:val="00582590"/>
    <w:rsid w:val="00582918"/>
    <w:rsid w:val="00582B7A"/>
    <w:rsid w:val="00582BCC"/>
    <w:rsid w:val="00582CC0"/>
    <w:rsid w:val="00582EE9"/>
    <w:rsid w:val="005838C6"/>
    <w:rsid w:val="00583AD0"/>
    <w:rsid w:val="00583BF7"/>
    <w:rsid w:val="00583DB2"/>
    <w:rsid w:val="005842FB"/>
    <w:rsid w:val="00584329"/>
    <w:rsid w:val="005843AB"/>
    <w:rsid w:val="0058499E"/>
    <w:rsid w:val="00584E21"/>
    <w:rsid w:val="00584E3B"/>
    <w:rsid w:val="005851FB"/>
    <w:rsid w:val="0058531A"/>
    <w:rsid w:val="005853C0"/>
    <w:rsid w:val="00585618"/>
    <w:rsid w:val="005856FA"/>
    <w:rsid w:val="00585B1A"/>
    <w:rsid w:val="00586A0A"/>
    <w:rsid w:val="00586AC2"/>
    <w:rsid w:val="00586D2E"/>
    <w:rsid w:val="00586EE7"/>
    <w:rsid w:val="00586F35"/>
    <w:rsid w:val="00587B4D"/>
    <w:rsid w:val="00587D55"/>
    <w:rsid w:val="00590209"/>
    <w:rsid w:val="00590857"/>
    <w:rsid w:val="00590AC1"/>
    <w:rsid w:val="005910B2"/>
    <w:rsid w:val="005917CB"/>
    <w:rsid w:val="0059210C"/>
    <w:rsid w:val="00592308"/>
    <w:rsid w:val="00592360"/>
    <w:rsid w:val="005924F1"/>
    <w:rsid w:val="00592960"/>
    <w:rsid w:val="005929B0"/>
    <w:rsid w:val="00592B4C"/>
    <w:rsid w:val="005931C4"/>
    <w:rsid w:val="00593294"/>
    <w:rsid w:val="005934CE"/>
    <w:rsid w:val="00593546"/>
    <w:rsid w:val="00593B48"/>
    <w:rsid w:val="00593B8A"/>
    <w:rsid w:val="00593CDF"/>
    <w:rsid w:val="005944D9"/>
    <w:rsid w:val="005948D4"/>
    <w:rsid w:val="00594B05"/>
    <w:rsid w:val="00594B54"/>
    <w:rsid w:val="0059525D"/>
    <w:rsid w:val="00595367"/>
    <w:rsid w:val="005963AC"/>
    <w:rsid w:val="00596CDF"/>
    <w:rsid w:val="0059706B"/>
    <w:rsid w:val="0059711C"/>
    <w:rsid w:val="005972F2"/>
    <w:rsid w:val="005977BE"/>
    <w:rsid w:val="00597D6D"/>
    <w:rsid w:val="00597E8E"/>
    <w:rsid w:val="005A0190"/>
    <w:rsid w:val="005A01A6"/>
    <w:rsid w:val="005A045C"/>
    <w:rsid w:val="005A0B92"/>
    <w:rsid w:val="005A1B40"/>
    <w:rsid w:val="005A25F9"/>
    <w:rsid w:val="005A2E3A"/>
    <w:rsid w:val="005A321B"/>
    <w:rsid w:val="005A32CD"/>
    <w:rsid w:val="005A34FD"/>
    <w:rsid w:val="005A38C8"/>
    <w:rsid w:val="005A3F34"/>
    <w:rsid w:val="005A4692"/>
    <w:rsid w:val="005A4789"/>
    <w:rsid w:val="005A4DDD"/>
    <w:rsid w:val="005A57BC"/>
    <w:rsid w:val="005A5963"/>
    <w:rsid w:val="005A5990"/>
    <w:rsid w:val="005A60AF"/>
    <w:rsid w:val="005A61AC"/>
    <w:rsid w:val="005A6436"/>
    <w:rsid w:val="005A7906"/>
    <w:rsid w:val="005B0672"/>
    <w:rsid w:val="005B08EF"/>
    <w:rsid w:val="005B095D"/>
    <w:rsid w:val="005B0D76"/>
    <w:rsid w:val="005B0E94"/>
    <w:rsid w:val="005B10A5"/>
    <w:rsid w:val="005B1283"/>
    <w:rsid w:val="005B13D5"/>
    <w:rsid w:val="005B1495"/>
    <w:rsid w:val="005B150D"/>
    <w:rsid w:val="005B186C"/>
    <w:rsid w:val="005B1C15"/>
    <w:rsid w:val="005B1F11"/>
    <w:rsid w:val="005B2124"/>
    <w:rsid w:val="005B25F1"/>
    <w:rsid w:val="005B2898"/>
    <w:rsid w:val="005B2920"/>
    <w:rsid w:val="005B2D6B"/>
    <w:rsid w:val="005B336D"/>
    <w:rsid w:val="005B34E1"/>
    <w:rsid w:val="005B36AA"/>
    <w:rsid w:val="005B4122"/>
    <w:rsid w:val="005B441F"/>
    <w:rsid w:val="005B5440"/>
    <w:rsid w:val="005B57B9"/>
    <w:rsid w:val="005B5BCA"/>
    <w:rsid w:val="005B5CAF"/>
    <w:rsid w:val="005B5DDA"/>
    <w:rsid w:val="005B6304"/>
    <w:rsid w:val="005B6782"/>
    <w:rsid w:val="005B6863"/>
    <w:rsid w:val="005B6A93"/>
    <w:rsid w:val="005B6CA8"/>
    <w:rsid w:val="005B70A1"/>
    <w:rsid w:val="005B72A5"/>
    <w:rsid w:val="005B72AD"/>
    <w:rsid w:val="005C04D9"/>
    <w:rsid w:val="005C0D25"/>
    <w:rsid w:val="005C0FEA"/>
    <w:rsid w:val="005C1253"/>
    <w:rsid w:val="005C12FB"/>
    <w:rsid w:val="005C1BFA"/>
    <w:rsid w:val="005C31C1"/>
    <w:rsid w:val="005C3729"/>
    <w:rsid w:val="005C3867"/>
    <w:rsid w:val="005C3B34"/>
    <w:rsid w:val="005C3BB6"/>
    <w:rsid w:val="005C3F52"/>
    <w:rsid w:val="005C4118"/>
    <w:rsid w:val="005C412A"/>
    <w:rsid w:val="005C526C"/>
    <w:rsid w:val="005C59A8"/>
    <w:rsid w:val="005C5AA9"/>
    <w:rsid w:val="005C5AE4"/>
    <w:rsid w:val="005C5EF2"/>
    <w:rsid w:val="005C6243"/>
    <w:rsid w:val="005C63A2"/>
    <w:rsid w:val="005C6BA7"/>
    <w:rsid w:val="005C6E5E"/>
    <w:rsid w:val="005C6F61"/>
    <w:rsid w:val="005C7528"/>
    <w:rsid w:val="005C7B98"/>
    <w:rsid w:val="005D043E"/>
    <w:rsid w:val="005D0578"/>
    <w:rsid w:val="005D06A1"/>
    <w:rsid w:val="005D082E"/>
    <w:rsid w:val="005D09D1"/>
    <w:rsid w:val="005D0C8B"/>
    <w:rsid w:val="005D110E"/>
    <w:rsid w:val="005D17F6"/>
    <w:rsid w:val="005D18D6"/>
    <w:rsid w:val="005D1CF3"/>
    <w:rsid w:val="005D1D1D"/>
    <w:rsid w:val="005D22A0"/>
    <w:rsid w:val="005D25AE"/>
    <w:rsid w:val="005D2BA0"/>
    <w:rsid w:val="005D2EBF"/>
    <w:rsid w:val="005D32EF"/>
    <w:rsid w:val="005D3351"/>
    <w:rsid w:val="005D34B4"/>
    <w:rsid w:val="005D3614"/>
    <w:rsid w:val="005D3E1F"/>
    <w:rsid w:val="005D434F"/>
    <w:rsid w:val="005D4472"/>
    <w:rsid w:val="005D4657"/>
    <w:rsid w:val="005D4817"/>
    <w:rsid w:val="005D4B98"/>
    <w:rsid w:val="005D4FAD"/>
    <w:rsid w:val="005D52A8"/>
    <w:rsid w:val="005D5CA2"/>
    <w:rsid w:val="005D5CCF"/>
    <w:rsid w:val="005D6AC5"/>
    <w:rsid w:val="005D6C69"/>
    <w:rsid w:val="005D6CC9"/>
    <w:rsid w:val="005D6F21"/>
    <w:rsid w:val="005D6F24"/>
    <w:rsid w:val="005D7389"/>
    <w:rsid w:val="005D7853"/>
    <w:rsid w:val="005D7943"/>
    <w:rsid w:val="005D7A75"/>
    <w:rsid w:val="005D7A9A"/>
    <w:rsid w:val="005D7B48"/>
    <w:rsid w:val="005D7B98"/>
    <w:rsid w:val="005D7D62"/>
    <w:rsid w:val="005D7FDD"/>
    <w:rsid w:val="005E03F6"/>
    <w:rsid w:val="005E08F0"/>
    <w:rsid w:val="005E0A0F"/>
    <w:rsid w:val="005E0C5E"/>
    <w:rsid w:val="005E0CE8"/>
    <w:rsid w:val="005E0EAD"/>
    <w:rsid w:val="005E15CD"/>
    <w:rsid w:val="005E17B7"/>
    <w:rsid w:val="005E2013"/>
    <w:rsid w:val="005E24F5"/>
    <w:rsid w:val="005E2931"/>
    <w:rsid w:val="005E2DCE"/>
    <w:rsid w:val="005E3489"/>
    <w:rsid w:val="005E35C1"/>
    <w:rsid w:val="005E3AA0"/>
    <w:rsid w:val="005E3AD4"/>
    <w:rsid w:val="005E4110"/>
    <w:rsid w:val="005E41D3"/>
    <w:rsid w:val="005E4261"/>
    <w:rsid w:val="005E435B"/>
    <w:rsid w:val="005E4745"/>
    <w:rsid w:val="005E4CC9"/>
    <w:rsid w:val="005E4E8D"/>
    <w:rsid w:val="005E5243"/>
    <w:rsid w:val="005E5A34"/>
    <w:rsid w:val="005E5EEC"/>
    <w:rsid w:val="005E625D"/>
    <w:rsid w:val="005E6490"/>
    <w:rsid w:val="005E6680"/>
    <w:rsid w:val="005E69F2"/>
    <w:rsid w:val="005E6D33"/>
    <w:rsid w:val="005E6E2C"/>
    <w:rsid w:val="005E730F"/>
    <w:rsid w:val="005E74B3"/>
    <w:rsid w:val="005E7531"/>
    <w:rsid w:val="005E7784"/>
    <w:rsid w:val="005E7A6A"/>
    <w:rsid w:val="005E7BEC"/>
    <w:rsid w:val="005E7EF1"/>
    <w:rsid w:val="005F0275"/>
    <w:rsid w:val="005F050B"/>
    <w:rsid w:val="005F06D9"/>
    <w:rsid w:val="005F082B"/>
    <w:rsid w:val="005F0834"/>
    <w:rsid w:val="005F12B3"/>
    <w:rsid w:val="005F1790"/>
    <w:rsid w:val="005F25B7"/>
    <w:rsid w:val="005F2826"/>
    <w:rsid w:val="005F29A4"/>
    <w:rsid w:val="005F2C87"/>
    <w:rsid w:val="005F3123"/>
    <w:rsid w:val="005F361A"/>
    <w:rsid w:val="005F36A2"/>
    <w:rsid w:val="005F497C"/>
    <w:rsid w:val="005F49C7"/>
    <w:rsid w:val="005F5862"/>
    <w:rsid w:val="005F5ED5"/>
    <w:rsid w:val="005F61A1"/>
    <w:rsid w:val="005F63EE"/>
    <w:rsid w:val="005F6BBC"/>
    <w:rsid w:val="005F6CBB"/>
    <w:rsid w:val="005F6D72"/>
    <w:rsid w:val="005F70E4"/>
    <w:rsid w:val="005F7639"/>
    <w:rsid w:val="005F7A23"/>
    <w:rsid w:val="005F7C94"/>
    <w:rsid w:val="005F7D52"/>
    <w:rsid w:val="0060079E"/>
    <w:rsid w:val="00600803"/>
    <w:rsid w:val="006009F5"/>
    <w:rsid w:val="00600CFE"/>
    <w:rsid w:val="00600ED2"/>
    <w:rsid w:val="00600FAD"/>
    <w:rsid w:val="00601974"/>
    <w:rsid w:val="00602610"/>
    <w:rsid w:val="00602A1E"/>
    <w:rsid w:val="00602B61"/>
    <w:rsid w:val="00602C27"/>
    <w:rsid w:val="00602DD2"/>
    <w:rsid w:val="00603613"/>
    <w:rsid w:val="00603682"/>
    <w:rsid w:val="0060399C"/>
    <w:rsid w:val="006041E3"/>
    <w:rsid w:val="00604313"/>
    <w:rsid w:val="006050FD"/>
    <w:rsid w:val="00605390"/>
    <w:rsid w:val="0060546D"/>
    <w:rsid w:val="00605A41"/>
    <w:rsid w:val="00605A93"/>
    <w:rsid w:val="00606360"/>
    <w:rsid w:val="00606695"/>
    <w:rsid w:val="00606976"/>
    <w:rsid w:val="006069EA"/>
    <w:rsid w:val="00606E3C"/>
    <w:rsid w:val="00606F0F"/>
    <w:rsid w:val="00607046"/>
    <w:rsid w:val="00607F2A"/>
    <w:rsid w:val="00607F7C"/>
    <w:rsid w:val="0061001C"/>
    <w:rsid w:val="0061025A"/>
    <w:rsid w:val="006102A0"/>
    <w:rsid w:val="00610347"/>
    <w:rsid w:val="0061045C"/>
    <w:rsid w:val="00610B47"/>
    <w:rsid w:val="0061155A"/>
    <w:rsid w:val="006117DC"/>
    <w:rsid w:val="00611CB6"/>
    <w:rsid w:val="00611DFB"/>
    <w:rsid w:val="00612150"/>
    <w:rsid w:val="006126A8"/>
    <w:rsid w:val="00612C9A"/>
    <w:rsid w:val="00612CE0"/>
    <w:rsid w:val="00612EF2"/>
    <w:rsid w:val="00613001"/>
    <w:rsid w:val="00613178"/>
    <w:rsid w:val="006133B1"/>
    <w:rsid w:val="006136E6"/>
    <w:rsid w:val="00613CB8"/>
    <w:rsid w:val="0061408B"/>
    <w:rsid w:val="006141A3"/>
    <w:rsid w:val="006141D9"/>
    <w:rsid w:val="006143FD"/>
    <w:rsid w:val="00614AAE"/>
    <w:rsid w:val="00614AB9"/>
    <w:rsid w:val="00614E07"/>
    <w:rsid w:val="0061518F"/>
    <w:rsid w:val="00615DF9"/>
    <w:rsid w:val="00616EDF"/>
    <w:rsid w:val="00616F19"/>
    <w:rsid w:val="00616F1E"/>
    <w:rsid w:val="006170A3"/>
    <w:rsid w:val="0061733A"/>
    <w:rsid w:val="00617342"/>
    <w:rsid w:val="00617A5C"/>
    <w:rsid w:val="00617F38"/>
    <w:rsid w:val="006203D5"/>
    <w:rsid w:val="00620BD5"/>
    <w:rsid w:val="00620C0F"/>
    <w:rsid w:val="00620D8A"/>
    <w:rsid w:val="00620F43"/>
    <w:rsid w:val="00621204"/>
    <w:rsid w:val="006215C2"/>
    <w:rsid w:val="00621885"/>
    <w:rsid w:val="0062190F"/>
    <w:rsid w:val="00621A2C"/>
    <w:rsid w:val="00621E3B"/>
    <w:rsid w:val="0062226F"/>
    <w:rsid w:val="00622419"/>
    <w:rsid w:val="00622706"/>
    <w:rsid w:val="00622E2C"/>
    <w:rsid w:val="0062365C"/>
    <w:rsid w:val="00624B7E"/>
    <w:rsid w:val="00624E9C"/>
    <w:rsid w:val="0062523D"/>
    <w:rsid w:val="006258F9"/>
    <w:rsid w:val="00626889"/>
    <w:rsid w:val="00626892"/>
    <w:rsid w:val="00626F1D"/>
    <w:rsid w:val="00627422"/>
    <w:rsid w:val="00627624"/>
    <w:rsid w:val="0062781A"/>
    <w:rsid w:val="00627850"/>
    <w:rsid w:val="00627854"/>
    <w:rsid w:val="00627A17"/>
    <w:rsid w:val="00630608"/>
    <w:rsid w:val="006310FB"/>
    <w:rsid w:val="006311D5"/>
    <w:rsid w:val="00631FEC"/>
    <w:rsid w:val="006327E6"/>
    <w:rsid w:val="00632BE3"/>
    <w:rsid w:val="00632DA5"/>
    <w:rsid w:val="0063340F"/>
    <w:rsid w:val="00633628"/>
    <w:rsid w:val="00633745"/>
    <w:rsid w:val="00634AEE"/>
    <w:rsid w:val="00634D1C"/>
    <w:rsid w:val="006354D3"/>
    <w:rsid w:val="006358D2"/>
    <w:rsid w:val="00635A38"/>
    <w:rsid w:val="00635AF4"/>
    <w:rsid w:val="00635C96"/>
    <w:rsid w:val="0063706B"/>
    <w:rsid w:val="00637D28"/>
    <w:rsid w:val="00637D41"/>
    <w:rsid w:val="006406E4"/>
    <w:rsid w:val="00640A63"/>
    <w:rsid w:val="00640F98"/>
    <w:rsid w:val="006411FE"/>
    <w:rsid w:val="006414C9"/>
    <w:rsid w:val="0064179E"/>
    <w:rsid w:val="00641B1C"/>
    <w:rsid w:val="00641C48"/>
    <w:rsid w:val="0064204D"/>
    <w:rsid w:val="00642AFF"/>
    <w:rsid w:val="00642BDC"/>
    <w:rsid w:val="00642C97"/>
    <w:rsid w:val="00643BFA"/>
    <w:rsid w:val="00644158"/>
    <w:rsid w:val="0064421F"/>
    <w:rsid w:val="0064451B"/>
    <w:rsid w:val="0064472A"/>
    <w:rsid w:val="00645297"/>
    <w:rsid w:val="006456C8"/>
    <w:rsid w:val="00645A43"/>
    <w:rsid w:val="0064607F"/>
    <w:rsid w:val="006466D4"/>
    <w:rsid w:val="00646E61"/>
    <w:rsid w:val="00646EA1"/>
    <w:rsid w:val="006474A1"/>
    <w:rsid w:val="00647803"/>
    <w:rsid w:val="00647806"/>
    <w:rsid w:val="00647D45"/>
    <w:rsid w:val="00647EA8"/>
    <w:rsid w:val="00650208"/>
    <w:rsid w:val="00650248"/>
    <w:rsid w:val="006502F8"/>
    <w:rsid w:val="00650944"/>
    <w:rsid w:val="00650EA9"/>
    <w:rsid w:val="00650FCE"/>
    <w:rsid w:val="00651068"/>
    <w:rsid w:val="0065113E"/>
    <w:rsid w:val="00651358"/>
    <w:rsid w:val="006516E5"/>
    <w:rsid w:val="00651950"/>
    <w:rsid w:val="006519CE"/>
    <w:rsid w:val="00651FF1"/>
    <w:rsid w:val="00652082"/>
    <w:rsid w:val="0065215B"/>
    <w:rsid w:val="006521FA"/>
    <w:rsid w:val="006522C1"/>
    <w:rsid w:val="006523CB"/>
    <w:rsid w:val="00653900"/>
    <w:rsid w:val="006543FA"/>
    <w:rsid w:val="006549FF"/>
    <w:rsid w:val="00654FDA"/>
    <w:rsid w:val="00655A8B"/>
    <w:rsid w:val="00656263"/>
    <w:rsid w:val="00656C57"/>
    <w:rsid w:val="00656F3C"/>
    <w:rsid w:val="00657BD1"/>
    <w:rsid w:val="00657CB0"/>
    <w:rsid w:val="00657D6A"/>
    <w:rsid w:val="00660CF1"/>
    <w:rsid w:val="00661013"/>
    <w:rsid w:val="00661759"/>
    <w:rsid w:val="00661A0E"/>
    <w:rsid w:val="00661DC8"/>
    <w:rsid w:val="006621AB"/>
    <w:rsid w:val="006624F9"/>
    <w:rsid w:val="00662640"/>
    <w:rsid w:val="00662826"/>
    <w:rsid w:val="006628A5"/>
    <w:rsid w:val="0066299A"/>
    <w:rsid w:val="00662D43"/>
    <w:rsid w:val="00662DC8"/>
    <w:rsid w:val="00663001"/>
    <w:rsid w:val="00663315"/>
    <w:rsid w:val="006638E0"/>
    <w:rsid w:val="00663B4A"/>
    <w:rsid w:val="00663C3A"/>
    <w:rsid w:val="00664706"/>
    <w:rsid w:val="0066474E"/>
    <w:rsid w:val="0066496F"/>
    <w:rsid w:val="00664BBD"/>
    <w:rsid w:val="006650A9"/>
    <w:rsid w:val="00665758"/>
    <w:rsid w:val="00665E48"/>
    <w:rsid w:val="00666176"/>
    <w:rsid w:val="00666377"/>
    <w:rsid w:val="00666764"/>
    <w:rsid w:val="0066695B"/>
    <w:rsid w:val="006669A1"/>
    <w:rsid w:val="00666C0E"/>
    <w:rsid w:val="00666CD9"/>
    <w:rsid w:val="00666E11"/>
    <w:rsid w:val="006670C2"/>
    <w:rsid w:val="0066735D"/>
    <w:rsid w:val="006676DD"/>
    <w:rsid w:val="00667C79"/>
    <w:rsid w:val="00670007"/>
    <w:rsid w:val="006700B1"/>
    <w:rsid w:val="00670720"/>
    <w:rsid w:val="00670770"/>
    <w:rsid w:val="0067083B"/>
    <w:rsid w:val="00670DCE"/>
    <w:rsid w:val="0067191E"/>
    <w:rsid w:val="00671B35"/>
    <w:rsid w:val="00671BB0"/>
    <w:rsid w:val="00671D08"/>
    <w:rsid w:val="00671DB7"/>
    <w:rsid w:val="006723CC"/>
    <w:rsid w:val="0067246C"/>
    <w:rsid w:val="006727E1"/>
    <w:rsid w:val="006729D7"/>
    <w:rsid w:val="00672CF0"/>
    <w:rsid w:val="00672D80"/>
    <w:rsid w:val="006732C9"/>
    <w:rsid w:val="00673704"/>
    <w:rsid w:val="006743B9"/>
    <w:rsid w:val="00674630"/>
    <w:rsid w:val="00674C1A"/>
    <w:rsid w:val="00674E7A"/>
    <w:rsid w:val="00674FA3"/>
    <w:rsid w:val="00674FE7"/>
    <w:rsid w:val="006757B0"/>
    <w:rsid w:val="00675F2B"/>
    <w:rsid w:val="00676032"/>
    <w:rsid w:val="00676574"/>
    <w:rsid w:val="00676FA3"/>
    <w:rsid w:val="0067712D"/>
    <w:rsid w:val="00677565"/>
    <w:rsid w:val="00677810"/>
    <w:rsid w:val="00677F87"/>
    <w:rsid w:val="00677FF6"/>
    <w:rsid w:val="00680003"/>
    <w:rsid w:val="006803D3"/>
    <w:rsid w:val="006804BC"/>
    <w:rsid w:val="0068058E"/>
    <w:rsid w:val="00680677"/>
    <w:rsid w:val="00680BD9"/>
    <w:rsid w:val="0068158F"/>
    <w:rsid w:val="0068159A"/>
    <w:rsid w:val="00681689"/>
    <w:rsid w:val="006817E5"/>
    <w:rsid w:val="00681823"/>
    <w:rsid w:val="00681FEA"/>
    <w:rsid w:val="00682089"/>
    <w:rsid w:val="0068290C"/>
    <w:rsid w:val="006838AB"/>
    <w:rsid w:val="00683D21"/>
    <w:rsid w:val="00683E2D"/>
    <w:rsid w:val="00684842"/>
    <w:rsid w:val="00684910"/>
    <w:rsid w:val="00684A2B"/>
    <w:rsid w:val="00684F55"/>
    <w:rsid w:val="006850F0"/>
    <w:rsid w:val="00685641"/>
    <w:rsid w:val="0068577F"/>
    <w:rsid w:val="00685A35"/>
    <w:rsid w:val="00685FC5"/>
    <w:rsid w:val="00686380"/>
    <w:rsid w:val="006867C2"/>
    <w:rsid w:val="006874D1"/>
    <w:rsid w:val="00687E3B"/>
    <w:rsid w:val="0069072E"/>
    <w:rsid w:val="006907DF"/>
    <w:rsid w:val="00690F6B"/>
    <w:rsid w:val="00691016"/>
    <w:rsid w:val="006913BB"/>
    <w:rsid w:val="006917FF"/>
    <w:rsid w:val="00691C6B"/>
    <w:rsid w:val="00692445"/>
    <w:rsid w:val="0069291D"/>
    <w:rsid w:val="00693E5C"/>
    <w:rsid w:val="00693FF0"/>
    <w:rsid w:val="00694344"/>
    <w:rsid w:val="0069457C"/>
    <w:rsid w:val="00694936"/>
    <w:rsid w:val="00694D05"/>
    <w:rsid w:val="006950D9"/>
    <w:rsid w:val="00695897"/>
    <w:rsid w:val="00695D6A"/>
    <w:rsid w:val="00695DF0"/>
    <w:rsid w:val="0069606B"/>
    <w:rsid w:val="00696420"/>
    <w:rsid w:val="0069649A"/>
    <w:rsid w:val="00696C73"/>
    <w:rsid w:val="00696E5C"/>
    <w:rsid w:val="006970C2"/>
    <w:rsid w:val="00697305"/>
    <w:rsid w:val="00697385"/>
    <w:rsid w:val="006974BF"/>
    <w:rsid w:val="00697609"/>
    <w:rsid w:val="00697D1B"/>
    <w:rsid w:val="00697D30"/>
    <w:rsid w:val="006A0060"/>
    <w:rsid w:val="006A00C2"/>
    <w:rsid w:val="006A08A9"/>
    <w:rsid w:val="006A0974"/>
    <w:rsid w:val="006A0D11"/>
    <w:rsid w:val="006A19D6"/>
    <w:rsid w:val="006A1C19"/>
    <w:rsid w:val="006A1E5C"/>
    <w:rsid w:val="006A26A9"/>
    <w:rsid w:val="006A28FE"/>
    <w:rsid w:val="006A2A90"/>
    <w:rsid w:val="006A2DBA"/>
    <w:rsid w:val="006A320E"/>
    <w:rsid w:val="006A340F"/>
    <w:rsid w:val="006A3429"/>
    <w:rsid w:val="006A470D"/>
    <w:rsid w:val="006A488F"/>
    <w:rsid w:val="006A565F"/>
    <w:rsid w:val="006A63F0"/>
    <w:rsid w:val="006A654A"/>
    <w:rsid w:val="006A67CD"/>
    <w:rsid w:val="006A72B7"/>
    <w:rsid w:val="006A74E9"/>
    <w:rsid w:val="006A7CEA"/>
    <w:rsid w:val="006A7EF2"/>
    <w:rsid w:val="006B0490"/>
    <w:rsid w:val="006B04F1"/>
    <w:rsid w:val="006B08E1"/>
    <w:rsid w:val="006B11C1"/>
    <w:rsid w:val="006B1770"/>
    <w:rsid w:val="006B244F"/>
    <w:rsid w:val="006B2984"/>
    <w:rsid w:val="006B3877"/>
    <w:rsid w:val="006B394E"/>
    <w:rsid w:val="006B3C4D"/>
    <w:rsid w:val="006B3CAA"/>
    <w:rsid w:val="006B4199"/>
    <w:rsid w:val="006B4454"/>
    <w:rsid w:val="006B4CDF"/>
    <w:rsid w:val="006B4FE8"/>
    <w:rsid w:val="006B5B08"/>
    <w:rsid w:val="006B62AB"/>
    <w:rsid w:val="006B63C1"/>
    <w:rsid w:val="006B67F6"/>
    <w:rsid w:val="006B70DB"/>
    <w:rsid w:val="006B724C"/>
    <w:rsid w:val="006B737A"/>
    <w:rsid w:val="006B7479"/>
    <w:rsid w:val="006B74AC"/>
    <w:rsid w:val="006B7961"/>
    <w:rsid w:val="006C0259"/>
    <w:rsid w:val="006C0283"/>
    <w:rsid w:val="006C03CD"/>
    <w:rsid w:val="006C0623"/>
    <w:rsid w:val="006C06FB"/>
    <w:rsid w:val="006C0780"/>
    <w:rsid w:val="006C0825"/>
    <w:rsid w:val="006C101B"/>
    <w:rsid w:val="006C1358"/>
    <w:rsid w:val="006C13A5"/>
    <w:rsid w:val="006C15B9"/>
    <w:rsid w:val="006C186A"/>
    <w:rsid w:val="006C1964"/>
    <w:rsid w:val="006C19C5"/>
    <w:rsid w:val="006C1DA4"/>
    <w:rsid w:val="006C2297"/>
    <w:rsid w:val="006C2C5D"/>
    <w:rsid w:val="006C32BB"/>
    <w:rsid w:val="006C38EA"/>
    <w:rsid w:val="006C3C94"/>
    <w:rsid w:val="006C4711"/>
    <w:rsid w:val="006C49F9"/>
    <w:rsid w:val="006C4B27"/>
    <w:rsid w:val="006C51DF"/>
    <w:rsid w:val="006C54A3"/>
    <w:rsid w:val="006C551D"/>
    <w:rsid w:val="006C645B"/>
    <w:rsid w:val="006C6C0C"/>
    <w:rsid w:val="006C7135"/>
    <w:rsid w:val="006D029A"/>
    <w:rsid w:val="006D08E9"/>
    <w:rsid w:val="006D13CB"/>
    <w:rsid w:val="006D1A61"/>
    <w:rsid w:val="006D1DD4"/>
    <w:rsid w:val="006D2581"/>
    <w:rsid w:val="006D2859"/>
    <w:rsid w:val="006D2C48"/>
    <w:rsid w:val="006D2DC7"/>
    <w:rsid w:val="006D3485"/>
    <w:rsid w:val="006D3805"/>
    <w:rsid w:val="006D3E92"/>
    <w:rsid w:val="006D40A0"/>
    <w:rsid w:val="006D44A7"/>
    <w:rsid w:val="006D44FD"/>
    <w:rsid w:val="006D455A"/>
    <w:rsid w:val="006D4697"/>
    <w:rsid w:val="006D47AC"/>
    <w:rsid w:val="006D49F1"/>
    <w:rsid w:val="006D5072"/>
    <w:rsid w:val="006D516D"/>
    <w:rsid w:val="006D52B9"/>
    <w:rsid w:val="006D5AD2"/>
    <w:rsid w:val="006D5B3D"/>
    <w:rsid w:val="006D5FFB"/>
    <w:rsid w:val="006D60F9"/>
    <w:rsid w:val="006D6929"/>
    <w:rsid w:val="006D69A2"/>
    <w:rsid w:val="006D6D4C"/>
    <w:rsid w:val="006D6E47"/>
    <w:rsid w:val="006D7050"/>
    <w:rsid w:val="006D722B"/>
    <w:rsid w:val="006D7BA5"/>
    <w:rsid w:val="006D7BC9"/>
    <w:rsid w:val="006D7C96"/>
    <w:rsid w:val="006D7DF6"/>
    <w:rsid w:val="006E04C7"/>
    <w:rsid w:val="006E0594"/>
    <w:rsid w:val="006E0596"/>
    <w:rsid w:val="006E05C2"/>
    <w:rsid w:val="006E068E"/>
    <w:rsid w:val="006E082D"/>
    <w:rsid w:val="006E11DE"/>
    <w:rsid w:val="006E1C58"/>
    <w:rsid w:val="006E1E1D"/>
    <w:rsid w:val="006E24A0"/>
    <w:rsid w:val="006E27E1"/>
    <w:rsid w:val="006E301B"/>
    <w:rsid w:val="006E395A"/>
    <w:rsid w:val="006E3B33"/>
    <w:rsid w:val="006E3F65"/>
    <w:rsid w:val="006E434A"/>
    <w:rsid w:val="006E4667"/>
    <w:rsid w:val="006E4D76"/>
    <w:rsid w:val="006E4E02"/>
    <w:rsid w:val="006E5998"/>
    <w:rsid w:val="006E5CD2"/>
    <w:rsid w:val="006E5E80"/>
    <w:rsid w:val="006E5FC8"/>
    <w:rsid w:val="006E6102"/>
    <w:rsid w:val="006E6E89"/>
    <w:rsid w:val="006E77D9"/>
    <w:rsid w:val="006F0213"/>
    <w:rsid w:val="006F0495"/>
    <w:rsid w:val="006F04ED"/>
    <w:rsid w:val="006F061B"/>
    <w:rsid w:val="006F099C"/>
    <w:rsid w:val="006F0AC1"/>
    <w:rsid w:val="006F0CF4"/>
    <w:rsid w:val="006F1647"/>
    <w:rsid w:val="006F16EF"/>
    <w:rsid w:val="006F234B"/>
    <w:rsid w:val="006F2D05"/>
    <w:rsid w:val="006F3175"/>
    <w:rsid w:val="006F3219"/>
    <w:rsid w:val="006F3A92"/>
    <w:rsid w:val="006F3C0D"/>
    <w:rsid w:val="006F3D07"/>
    <w:rsid w:val="006F3E14"/>
    <w:rsid w:val="006F3EC9"/>
    <w:rsid w:val="006F44EF"/>
    <w:rsid w:val="006F49C8"/>
    <w:rsid w:val="006F4AB3"/>
    <w:rsid w:val="006F512C"/>
    <w:rsid w:val="006F5542"/>
    <w:rsid w:val="006F5C53"/>
    <w:rsid w:val="006F5FD9"/>
    <w:rsid w:val="006F6338"/>
    <w:rsid w:val="006F6CBA"/>
    <w:rsid w:val="006F757B"/>
    <w:rsid w:val="006F7AAE"/>
    <w:rsid w:val="006F7C9F"/>
    <w:rsid w:val="006F7FAB"/>
    <w:rsid w:val="007003A2"/>
    <w:rsid w:val="007004D5"/>
    <w:rsid w:val="00700A08"/>
    <w:rsid w:val="00700D78"/>
    <w:rsid w:val="00700EFA"/>
    <w:rsid w:val="00701048"/>
    <w:rsid w:val="007010A9"/>
    <w:rsid w:val="0070147B"/>
    <w:rsid w:val="00701B32"/>
    <w:rsid w:val="00701CC9"/>
    <w:rsid w:val="00701F7B"/>
    <w:rsid w:val="007026C0"/>
    <w:rsid w:val="007028E0"/>
    <w:rsid w:val="00702B92"/>
    <w:rsid w:val="007030BC"/>
    <w:rsid w:val="00703D87"/>
    <w:rsid w:val="00704595"/>
    <w:rsid w:val="00704799"/>
    <w:rsid w:val="00704FDE"/>
    <w:rsid w:val="00705898"/>
    <w:rsid w:val="00705AB7"/>
    <w:rsid w:val="00705DD3"/>
    <w:rsid w:val="00706454"/>
    <w:rsid w:val="00706E99"/>
    <w:rsid w:val="007071DF"/>
    <w:rsid w:val="007078F2"/>
    <w:rsid w:val="00707B42"/>
    <w:rsid w:val="00707C62"/>
    <w:rsid w:val="00707F49"/>
    <w:rsid w:val="00710027"/>
    <w:rsid w:val="007100CF"/>
    <w:rsid w:val="0071026B"/>
    <w:rsid w:val="007104F4"/>
    <w:rsid w:val="00710723"/>
    <w:rsid w:val="00710805"/>
    <w:rsid w:val="00710ADB"/>
    <w:rsid w:val="00710C35"/>
    <w:rsid w:val="00710DF1"/>
    <w:rsid w:val="00710EEC"/>
    <w:rsid w:val="00712AD3"/>
    <w:rsid w:val="00712E94"/>
    <w:rsid w:val="00712FFD"/>
    <w:rsid w:val="007130FE"/>
    <w:rsid w:val="00713243"/>
    <w:rsid w:val="007133E4"/>
    <w:rsid w:val="0071391A"/>
    <w:rsid w:val="00713C57"/>
    <w:rsid w:val="00714331"/>
    <w:rsid w:val="0071446A"/>
    <w:rsid w:val="00714475"/>
    <w:rsid w:val="0071487B"/>
    <w:rsid w:val="00714BE7"/>
    <w:rsid w:val="0071523F"/>
    <w:rsid w:val="007156F0"/>
    <w:rsid w:val="00715ABF"/>
    <w:rsid w:val="00715ECB"/>
    <w:rsid w:val="00716202"/>
    <w:rsid w:val="007164E5"/>
    <w:rsid w:val="007167C1"/>
    <w:rsid w:val="0071696C"/>
    <w:rsid w:val="00716EA2"/>
    <w:rsid w:val="00716FC5"/>
    <w:rsid w:val="00717118"/>
    <w:rsid w:val="007173D0"/>
    <w:rsid w:val="007174D2"/>
    <w:rsid w:val="00717D1A"/>
    <w:rsid w:val="0072013F"/>
    <w:rsid w:val="00720C67"/>
    <w:rsid w:val="00720DF5"/>
    <w:rsid w:val="00720DFA"/>
    <w:rsid w:val="007216E5"/>
    <w:rsid w:val="0072188C"/>
    <w:rsid w:val="00721979"/>
    <w:rsid w:val="00721F8E"/>
    <w:rsid w:val="0072276B"/>
    <w:rsid w:val="007230E6"/>
    <w:rsid w:val="0072354D"/>
    <w:rsid w:val="00723727"/>
    <w:rsid w:val="00723733"/>
    <w:rsid w:val="00723845"/>
    <w:rsid w:val="00723CAB"/>
    <w:rsid w:val="007240F8"/>
    <w:rsid w:val="00724306"/>
    <w:rsid w:val="007249CA"/>
    <w:rsid w:val="00724B78"/>
    <w:rsid w:val="00724CB9"/>
    <w:rsid w:val="00724E20"/>
    <w:rsid w:val="00725A65"/>
    <w:rsid w:val="00726482"/>
    <w:rsid w:val="0072659A"/>
    <w:rsid w:val="00726C26"/>
    <w:rsid w:val="007273D7"/>
    <w:rsid w:val="00727554"/>
    <w:rsid w:val="007277BA"/>
    <w:rsid w:val="00727960"/>
    <w:rsid w:val="00727FB7"/>
    <w:rsid w:val="0073018C"/>
    <w:rsid w:val="00730942"/>
    <w:rsid w:val="007309C6"/>
    <w:rsid w:val="00730D15"/>
    <w:rsid w:val="0073170B"/>
    <w:rsid w:val="00731EA1"/>
    <w:rsid w:val="00732DC2"/>
    <w:rsid w:val="007331C2"/>
    <w:rsid w:val="00733589"/>
    <w:rsid w:val="00734031"/>
    <w:rsid w:val="007342A2"/>
    <w:rsid w:val="0073494B"/>
    <w:rsid w:val="007357FE"/>
    <w:rsid w:val="00735C05"/>
    <w:rsid w:val="00735F2C"/>
    <w:rsid w:val="007365B1"/>
    <w:rsid w:val="0073719B"/>
    <w:rsid w:val="00737538"/>
    <w:rsid w:val="00737AEC"/>
    <w:rsid w:val="00737DE7"/>
    <w:rsid w:val="00740065"/>
    <w:rsid w:val="007404AF"/>
    <w:rsid w:val="00740DF2"/>
    <w:rsid w:val="0074106C"/>
    <w:rsid w:val="0074147D"/>
    <w:rsid w:val="00741BA9"/>
    <w:rsid w:val="00741F2B"/>
    <w:rsid w:val="00741F90"/>
    <w:rsid w:val="00742191"/>
    <w:rsid w:val="00742502"/>
    <w:rsid w:val="00742C0D"/>
    <w:rsid w:val="00742CEF"/>
    <w:rsid w:val="0074311B"/>
    <w:rsid w:val="007438CB"/>
    <w:rsid w:val="0074415E"/>
    <w:rsid w:val="0074484E"/>
    <w:rsid w:val="00744989"/>
    <w:rsid w:val="00744F70"/>
    <w:rsid w:val="0074536D"/>
    <w:rsid w:val="007457DF"/>
    <w:rsid w:val="007458B5"/>
    <w:rsid w:val="00745A44"/>
    <w:rsid w:val="00745DB8"/>
    <w:rsid w:val="00745ECC"/>
    <w:rsid w:val="007462BF"/>
    <w:rsid w:val="00746C7B"/>
    <w:rsid w:val="00746E78"/>
    <w:rsid w:val="007470AC"/>
    <w:rsid w:val="00747B8A"/>
    <w:rsid w:val="00750576"/>
    <w:rsid w:val="00750741"/>
    <w:rsid w:val="007507DE"/>
    <w:rsid w:val="00750993"/>
    <w:rsid w:val="00751329"/>
    <w:rsid w:val="0075146F"/>
    <w:rsid w:val="0075147B"/>
    <w:rsid w:val="007517E4"/>
    <w:rsid w:val="00751EA9"/>
    <w:rsid w:val="0075227F"/>
    <w:rsid w:val="00752593"/>
    <w:rsid w:val="00752612"/>
    <w:rsid w:val="00752F87"/>
    <w:rsid w:val="007533FE"/>
    <w:rsid w:val="00753FDF"/>
    <w:rsid w:val="007545FF"/>
    <w:rsid w:val="0075467B"/>
    <w:rsid w:val="007548FA"/>
    <w:rsid w:val="00754B1A"/>
    <w:rsid w:val="00754D6F"/>
    <w:rsid w:val="00755927"/>
    <w:rsid w:val="007559B2"/>
    <w:rsid w:val="00755C26"/>
    <w:rsid w:val="00755D46"/>
    <w:rsid w:val="00755E3D"/>
    <w:rsid w:val="0075673F"/>
    <w:rsid w:val="0075683B"/>
    <w:rsid w:val="00756ABF"/>
    <w:rsid w:val="00756FB1"/>
    <w:rsid w:val="007575FA"/>
    <w:rsid w:val="007577A2"/>
    <w:rsid w:val="00757D49"/>
    <w:rsid w:val="0076056D"/>
    <w:rsid w:val="00760DF0"/>
    <w:rsid w:val="0076131C"/>
    <w:rsid w:val="007620A0"/>
    <w:rsid w:val="007622ED"/>
    <w:rsid w:val="00762334"/>
    <w:rsid w:val="0076238B"/>
    <w:rsid w:val="007623CA"/>
    <w:rsid w:val="00762CBF"/>
    <w:rsid w:val="00762F30"/>
    <w:rsid w:val="007632A5"/>
    <w:rsid w:val="0076357F"/>
    <w:rsid w:val="007636B5"/>
    <w:rsid w:val="00763916"/>
    <w:rsid w:val="007639C7"/>
    <w:rsid w:val="00763F3B"/>
    <w:rsid w:val="00764233"/>
    <w:rsid w:val="00764E6E"/>
    <w:rsid w:val="00764FC0"/>
    <w:rsid w:val="007659F6"/>
    <w:rsid w:val="007659FC"/>
    <w:rsid w:val="00765C42"/>
    <w:rsid w:val="00765D3E"/>
    <w:rsid w:val="00766678"/>
    <w:rsid w:val="00766A71"/>
    <w:rsid w:val="00766B20"/>
    <w:rsid w:val="00767211"/>
    <w:rsid w:val="007674FE"/>
    <w:rsid w:val="007675AF"/>
    <w:rsid w:val="00770081"/>
    <w:rsid w:val="00770767"/>
    <w:rsid w:val="00770894"/>
    <w:rsid w:val="00770AF1"/>
    <w:rsid w:val="00770BF9"/>
    <w:rsid w:val="007712A5"/>
    <w:rsid w:val="0077143D"/>
    <w:rsid w:val="00771467"/>
    <w:rsid w:val="0077149B"/>
    <w:rsid w:val="007716B7"/>
    <w:rsid w:val="00771DC2"/>
    <w:rsid w:val="00772518"/>
    <w:rsid w:val="007726E8"/>
    <w:rsid w:val="007727A4"/>
    <w:rsid w:val="00772F5E"/>
    <w:rsid w:val="00773724"/>
    <w:rsid w:val="00773EB1"/>
    <w:rsid w:val="007748D0"/>
    <w:rsid w:val="00775528"/>
    <w:rsid w:val="00775F54"/>
    <w:rsid w:val="0077613A"/>
    <w:rsid w:val="00776907"/>
    <w:rsid w:val="00776E9F"/>
    <w:rsid w:val="00777036"/>
    <w:rsid w:val="007777CB"/>
    <w:rsid w:val="00777D0F"/>
    <w:rsid w:val="00777F5F"/>
    <w:rsid w:val="00777FC0"/>
    <w:rsid w:val="007806BE"/>
    <w:rsid w:val="00781BCD"/>
    <w:rsid w:val="0078216D"/>
    <w:rsid w:val="00782637"/>
    <w:rsid w:val="00782944"/>
    <w:rsid w:val="00782977"/>
    <w:rsid w:val="007829AF"/>
    <w:rsid w:val="00782DA3"/>
    <w:rsid w:val="00783037"/>
    <w:rsid w:val="007834C5"/>
    <w:rsid w:val="007839E1"/>
    <w:rsid w:val="00783AF9"/>
    <w:rsid w:val="00783EEA"/>
    <w:rsid w:val="007844C9"/>
    <w:rsid w:val="00784CFE"/>
    <w:rsid w:val="007851F3"/>
    <w:rsid w:val="00785278"/>
    <w:rsid w:val="00785665"/>
    <w:rsid w:val="00785862"/>
    <w:rsid w:val="007858B2"/>
    <w:rsid w:val="00785ED0"/>
    <w:rsid w:val="0078601F"/>
    <w:rsid w:val="00786659"/>
    <w:rsid w:val="00786D2D"/>
    <w:rsid w:val="00786D7B"/>
    <w:rsid w:val="0078714C"/>
    <w:rsid w:val="007871D0"/>
    <w:rsid w:val="007875A1"/>
    <w:rsid w:val="0078775D"/>
    <w:rsid w:val="00787DC2"/>
    <w:rsid w:val="00787F28"/>
    <w:rsid w:val="007908DD"/>
    <w:rsid w:val="00790A1C"/>
    <w:rsid w:val="00790F15"/>
    <w:rsid w:val="0079156B"/>
    <w:rsid w:val="00791893"/>
    <w:rsid w:val="00792013"/>
    <w:rsid w:val="00792118"/>
    <w:rsid w:val="007924E2"/>
    <w:rsid w:val="0079259B"/>
    <w:rsid w:val="00792712"/>
    <w:rsid w:val="0079290E"/>
    <w:rsid w:val="00793252"/>
    <w:rsid w:val="0079388C"/>
    <w:rsid w:val="00793951"/>
    <w:rsid w:val="00793C94"/>
    <w:rsid w:val="00793CCF"/>
    <w:rsid w:val="00794622"/>
    <w:rsid w:val="00794FDD"/>
    <w:rsid w:val="00795801"/>
    <w:rsid w:val="007958B7"/>
    <w:rsid w:val="00795952"/>
    <w:rsid w:val="00795BAE"/>
    <w:rsid w:val="00795FA5"/>
    <w:rsid w:val="00796048"/>
    <w:rsid w:val="00796063"/>
    <w:rsid w:val="0079609C"/>
    <w:rsid w:val="00796612"/>
    <w:rsid w:val="0079687C"/>
    <w:rsid w:val="007969C4"/>
    <w:rsid w:val="00796A4D"/>
    <w:rsid w:val="00796DAC"/>
    <w:rsid w:val="0079702B"/>
    <w:rsid w:val="007979BE"/>
    <w:rsid w:val="00797B7C"/>
    <w:rsid w:val="007A0135"/>
    <w:rsid w:val="007A0EEA"/>
    <w:rsid w:val="007A10A4"/>
    <w:rsid w:val="007A1234"/>
    <w:rsid w:val="007A131E"/>
    <w:rsid w:val="007A1328"/>
    <w:rsid w:val="007A134F"/>
    <w:rsid w:val="007A15A0"/>
    <w:rsid w:val="007A189D"/>
    <w:rsid w:val="007A1E1B"/>
    <w:rsid w:val="007A21CE"/>
    <w:rsid w:val="007A22D3"/>
    <w:rsid w:val="007A22DB"/>
    <w:rsid w:val="007A24BE"/>
    <w:rsid w:val="007A2635"/>
    <w:rsid w:val="007A267E"/>
    <w:rsid w:val="007A3CDA"/>
    <w:rsid w:val="007A4369"/>
    <w:rsid w:val="007A44C2"/>
    <w:rsid w:val="007A4709"/>
    <w:rsid w:val="007A49B6"/>
    <w:rsid w:val="007A4B87"/>
    <w:rsid w:val="007A4D3A"/>
    <w:rsid w:val="007A4E76"/>
    <w:rsid w:val="007A4FF8"/>
    <w:rsid w:val="007A5490"/>
    <w:rsid w:val="007A5600"/>
    <w:rsid w:val="007A5862"/>
    <w:rsid w:val="007A59DC"/>
    <w:rsid w:val="007A60D0"/>
    <w:rsid w:val="007A60F6"/>
    <w:rsid w:val="007A63AC"/>
    <w:rsid w:val="007A655F"/>
    <w:rsid w:val="007A6862"/>
    <w:rsid w:val="007A6979"/>
    <w:rsid w:val="007A6D46"/>
    <w:rsid w:val="007A7383"/>
    <w:rsid w:val="007A784D"/>
    <w:rsid w:val="007A7A8A"/>
    <w:rsid w:val="007A7AC7"/>
    <w:rsid w:val="007A7C44"/>
    <w:rsid w:val="007A7F2B"/>
    <w:rsid w:val="007B0282"/>
    <w:rsid w:val="007B0836"/>
    <w:rsid w:val="007B0927"/>
    <w:rsid w:val="007B0ACC"/>
    <w:rsid w:val="007B0B63"/>
    <w:rsid w:val="007B0FAA"/>
    <w:rsid w:val="007B11FF"/>
    <w:rsid w:val="007B12CC"/>
    <w:rsid w:val="007B1A93"/>
    <w:rsid w:val="007B1CA9"/>
    <w:rsid w:val="007B1E43"/>
    <w:rsid w:val="007B1FD8"/>
    <w:rsid w:val="007B24AD"/>
    <w:rsid w:val="007B279F"/>
    <w:rsid w:val="007B27E1"/>
    <w:rsid w:val="007B2875"/>
    <w:rsid w:val="007B2ADB"/>
    <w:rsid w:val="007B2B09"/>
    <w:rsid w:val="007B2F51"/>
    <w:rsid w:val="007B3830"/>
    <w:rsid w:val="007B3952"/>
    <w:rsid w:val="007B3ADE"/>
    <w:rsid w:val="007B3B75"/>
    <w:rsid w:val="007B3FFC"/>
    <w:rsid w:val="007B425A"/>
    <w:rsid w:val="007B43FA"/>
    <w:rsid w:val="007B501F"/>
    <w:rsid w:val="007B5420"/>
    <w:rsid w:val="007B5B26"/>
    <w:rsid w:val="007B5B94"/>
    <w:rsid w:val="007B5F94"/>
    <w:rsid w:val="007B7234"/>
    <w:rsid w:val="007C03F3"/>
    <w:rsid w:val="007C045A"/>
    <w:rsid w:val="007C0543"/>
    <w:rsid w:val="007C0E7C"/>
    <w:rsid w:val="007C13A2"/>
    <w:rsid w:val="007C1564"/>
    <w:rsid w:val="007C163C"/>
    <w:rsid w:val="007C1682"/>
    <w:rsid w:val="007C1F0C"/>
    <w:rsid w:val="007C27EC"/>
    <w:rsid w:val="007C2949"/>
    <w:rsid w:val="007C2AC7"/>
    <w:rsid w:val="007C2DD3"/>
    <w:rsid w:val="007C30B8"/>
    <w:rsid w:val="007C3386"/>
    <w:rsid w:val="007C365A"/>
    <w:rsid w:val="007C3947"/>
    <w:rsid w:val="007C3F7B"/>
    <w:rsid w:val="007C42D1"/>
    <w:rsid w:val="007C4513"/>
    <w:rsid w:val="007C50EC"/>
    <w:rsid w:val="007C5127"/>
    <w:rsid w:val="007C559D"/>
    <w:rsid w:val="007C571C"/>
    <w:rsid w:val="007C58A4"/>
    <w:rsid w:val="007C5BF9"/>
    <w:rsid w:val="007C5C64"/>
    <w:rsid w:val="007C68CF"/>
    <w:rsid w:val="007C6903"/>
    <w:rsid w:val="007C6F98"/>
    <w:rsid w:val="007C7002"/>
    <w:rsid w:val="007C7C61"/>
    <w:rsid w:val="007C7C83"/>
    <w:rsid w:val="007D09A7"/>
    <w:rsid w:val="007D0AB8"/>
    <w:rsid w:val="007D1224"/>
    <w:rsid w:val="007D1450"/>
    <w:rsid w:val="007D1736"/>
    <w:rsid w:val="007D1887"/>
    <w:rsid w:val="007D1D12"/>
    <w:rsid w:val="007D1D93"/>
    <w:rsid w:val="007D2373"/>
    <w:rsid w:val="007D26DA"/>
    <w:rsid w:val="007D2C91"/>
    <w:rsid w:val="007D2EDC"/>
    <w:rsid w:val="007D3710"/>
    <w:rsid w:val="007D3821"/>
    <w:rsid w:val="007D3A46"/>
    <w:rsid w:val="007D46AE"/>
    <w:rsid w:val="007D4A73"/>
    <w:rsid w:val="007D4B9E"/>
    <w:rsid w:val="007D50D3"/>
    <w:rsid w:val="007D51AD"/>
    <w:rsid w:val="007D5201"/>
    <w:rsid w:val="007D54A5"/>
    <w:rsid w:val="007D5D8F"/>
    <w:rsid w:val="007D6309"/>
    <w:rsid w:val="007D7975"/>
    <w:rsid w:val="007D7FF9"/>
    <w:rsid w:val="007E0318"/>
    <w:rsid w:val="007E0C8B"/>
    <w:rsid w:val="007E158D"/>
    <w:rsid w:val="007E15D4"/>
    <w:rsid w:val="007E1769"/>
    <w:rsid w:val="007E1A2F"/>
    <w:rsid w:val="007E1B71"/>
    <w:rsid w:val="007E2155"/>
    <w:rsid w:val="007E2180"/>
    <w:rsid w:val="007E2572"/>
    <w:rsid w:val="007E2794"/>
    <w:rsid w:val="007E2A55"/>
    <w:rsid w:val="007E2D0E"/>
    <w:rsid w:val="007E2DEA"/>
    <w:rsid w:val="007E2DF2"/>
    <w:rsid w:val="007E3FD0"/>
    <w:rsid w:val="007E5067"/>
    <w:rsid w:val="007E54EC"/>
    <w:rsid w:val="007E5CA0"/>
    <w:rsid w:val="007E5F13"/>
    <w:rsid w:val="007E5F18"/>
    <w:rsid w:val="007E6196"/>
    <w:rsid w:val="007E6231"/>
    <w:rsid w:val="007E672E"/>
    <w:rsid w:val="007E7055"/>
    <w:rsid w:val="007E772B"/>
    <w:rsid w:val="007E7909"/>
    <w:rsid w:val="007E7A31"/>
    <w:rsid w:val="007E7DA3"/>
    <w:rsid w:val="007E7F0C"/>
    <w:rsid w:val="007E7F56"/>
    <w:rsid w:val="007F0061"/>
    <w:rsid w:val="007F0395"/>
    <w:rsid w:val="007F03A1"/>
    <w:rsid w:val="007F0904"/>
    <w:rsid w:val="007F0EFB"/>
    <w:rsid w:val="007F0F1F"/>
    <w:rsid w:val="007F13C6"/>
    <w:rsid w:val="007F1412"/>
    <w:rsid w:val="007F1521"/>
    <w:rsid w:val="007F17BF"/>
    <w:rsid w:val="007F1873"/>
    <w:rsid w:val="007F19D3"/>
    <w:rsid w:val="007F1AE1"/>
    <w:rsid w:val="007F1B2E"/>
    <w:rsid w:val="007F1BDC"/>
    <w:rsid w:val="007F21E9"/>
    <w:rsid w:val="007F2CAE"/>
    <w:rsid w:val="007F359A"/>
    <w:rsid w:val="007F381A"/>
    <w:rsid w:val="007F3AA2"/>
    <w:rsid w:val="007F3EEE"/>
    <w:rsid w:val="007F431D"/>
    <w:rsid w:val="007F447A"/>
    <w:rsid w:val="007F4979"/>
    <w:rsid w:val="007F49D1"/>
    <w:rsid w:val="007F4BE0"/>
    <w:rsid w:val="007F4E7F"/>
    <w:rsid w:val="007F5390"/>
    <w:rsid w:val="007F53EF"/>
    <w:rsid w:val="007F587F"/>
    <w:rsid w:val="007F5D0C"/>
    <w:rsid w:val="007F5F35"/>
    <w:rsid w:val="007F6628"/>
    <w:rsid w:val="007F6DE0"/>
    <w:rsid w:val="007F75BF"/>
    <w:rsid w:val="007F760D"/>
    <w:rsid w:val="007F7CC6"/>
    <w:rsid w:val="0080016A"/>
    <w:rsid w:val="0080049C"/>
    <w:rsid w:val="00800549"/>
    <w:rsid w:val="00800A86"/>
    <w:rsid w:val="00800F80"/>
    <w:rsid w:val="00800FED"/>
    <w:rsid w:val="0080157B"/>
    <w:rsid w:val="0080169E"/>
    <w:rsid w:val="008017A7"/>
    <w:rsid w:val="00801CDB"/>
    <w:rsid w:val="00801D7C"/>
    <w:rsid w:val="0080200B"/>
    <w:rsid w:val="00802CA3"/>
    <w:rsid w:val="00803069"/>
    <w:rsid w:val="0080309D"/>
    <w:rsid w:val="00803537"/>
    <w:rsid w:val="00803621"/>
    <w:rsid w:val="00803655"/>
    <w:rsid w:val="008037D5"/>
    <w:rsid w:val="00804AED"/>
    <w:rsid w:val="00804B39"/>
    <w:rsid w:val="00804DA4"/>
    <w:rsid w:val="00804E8E"/>
    <w:rsid w:val="00805389"/>
    <w:rsid w:val="00805B54"/>
    <w:rsid w:val="00805C6E"/>
    <w:rsid w:val="00805F8F"/>
    <w:rsid w:val="00806081"/>
    <w:rsid w:val="0080643A"/>
    <w:rsid w:val="00806BC7"/>
    <w:rsid w:val="00806E01"/>
    <w:rsid w:val="0080761D"/>
    <w:rsid w:val="00807D16"/>
    <w:rsid w:val="008107E9"/>
    <w:rsid w:val="00810892"/>
    <w:rsid w:val="00810FFD"/>
    <w:rsid w:val="008111BF"/>
    <w:rsid w:val="00811705"/>
    <w:rsid w:val="0081193A"/>
    <w:rsid w:val="00811A1F"/>
    <w:rsid w:val="00811BBC"/>
    <w:rsid w:val="00811D18"/>
    <w:rsid w:val="00811D2E"/>
    <w:rsid w:val="00811EBB"/>
    <w:rsid w:val="00812084"/>
    <w:rsid w:val="00812AD2"/>
    <w:rsid w:val="00812CA1"/>
    <w:rsid w:val="0081302A"/>
    <w:rsid w:val="008131BD"/>
    <w:rsid w:val="0081334C"/>
    <w:rsid w:val="00813ADE"/>
    <w:rsid w:val="00813FEE"/>
    <w:rsid w:val="0081466D"/>
    <w:rsid w:val="00814CBE"/>
    <w:rsid w:val="0081586C"/>
    <w:rsid w:val="00815C02"/>
    <w:rsid w:val="00815D1F"/>
    <w:rsid w:val="00815D2A"/>
    <w:rsid w:val="00816093"/>
    <w:rsid w:val="00816791"/>
    <w:rsid w:val="008167FC"/>
    <w:rsid w:val="008168D9"/>
    <w:rsid w:val="00816D0C"/>
    <w:rsid w:val="00816D74"/>
    <w:rsid w:val="008171B2"/>
    <w:rsid w:val="00817DEC"/>
    <w:rsid w:val="00817EE4"/>
    <w:rsid w:val="00820074"/>
    <w:rsid w:val="00820291"/>
    <w:rsid w:val="00820D92"/>
    <w:rsid w:val="00820EEC"/>
    <w:rsid w:val="008214FA"/>
    <w:rsid w:val="00821591"/>
    <w:rsid w:val="00821C99"/>
    <w:rsid w:val="00822176"/>
    <w:rsid w:val="008223FA"/>
    <w:rsid w:val="00823B29"/>
    <w:rsid w:val="00823B32"/>
    <w:rsid w:val="00823B62"/>
    <w:rsid w:val="00824BCC"/>
    <w:rsid w:val="00824D81"/>
    <w:rsid w:val="00825B8F"/>
    <w:rsid w:val="00825DCE"/>
    <w:rsid w:val="00826551"/>
    <w:rsid w:val="00826B36"/>
    <w:rsid w:val="0082707B"/>
    <w:rsid w:val="00827D3A"/>
    <w:rsid w:val="00827E70"/>
    <w:rsid w:val="0083000F"/>
    <w:rsid w:val="0083009D"/>
    <w:rsid w:val="008304AD"/>
    <w:rsid w:val="00830A5A"/>
    <w:rsid w:val="00830AB1"/>
    <w:rsid w:val="00831163"/>
    <w:rsid w:val="00831AAF"/>
    <w:rsid w:val="00831B0B"/>
    <w:rsid w:val="00831B3B"/>
    <w:rsid w:val="0083201C"/>
    <w:rsid w:val="008321E1"/>
    <w:rsid w:val="00833039"/>
    <w:rsid w:val="00833865"/>
    <w:rsid w:val="00834050"/>
    <w:rsid w:val="008340AF"/>
    <w:rsid w:val="008342A5"/>
    <w:rsid w:val="008343E2"/>
    <w:rsid w:val="00834629"/>
    <w:rsid w:val="00834A43"/>
    <w:rsid w:val="0083531D"/>
    <w:rsid w:val="00835799"/>
    <w:rsid w:val="00835A08"/>
    <w:rsid w:val="00835ADD"/>
    <w:rsid w:val="008360BD"/>
    <w:rsid w:val="0083644A"/>
    <w:rsid w:val="00836740"/>
    <w:rsid w:val="00836771"/>
    <w:rsid w:val="00836E77"/>
    <w:rsid w:val="00837133"/>
    <w:rsid w:val="008402E6"/>
    <w:rsid w:val="008407BC"/>
    <w:rsid w:val="00840A3E"/>
    <w:rsid w:val="00840AC9"/>
    <w:rsid w:val="008410B7"/>
    <w:rsid w:val="00841488"/>
    <w:rsid w:val="00841F7C"/>
    <w:rsid w:val="00842A5B"/>
    <w:rsid w:val="00843077"/>
    <w:rsid w:val="0084379B"/>
    <w:rsid w:val="00843878"/>
    <w:rsid w:val="00843EEA"/>
    <w:rsid w:val="008447A9"/>
    <w:rsid w:val="008447F8"/>
    <w:rsid w:val="00844B3B"/>
    <w:rsid w:val="00844C7A"/>
    <w:rsid w:val="00845127"/>
    <w:rsid w:val="0084576D"/>
    <w:rsid w:val="00845B78"/>
    <w:rsid w:val="00845BAD"/>
    <w:rsid w:val="00845D45"/>
    <w:rsid w:val="0084636A"/>
    <w:rsid w:val="00846670"/>
    <w:rsid w:val="008469E0"/>
    <w:rsid w:val="00846A91"/>
    <w:rsid w:val="0084711A"/>
    <w:rsid w:val="00847374"/>
    <w:rsid w:val="008474A7"/>
    <w:rsid w:val="008478C6"/>
    <w:rsid w:val="00847F9C"/>
    <w:rsid w:val="00850454"/>
    <w:rsid w:val="00850914"/>
    <w:rsid w:val="00851AF0"/>
    <w:rsid w:val="00851D8A"/>
    <w:rsid w:val="0085223D"/>
    <w:rsid w:val="00852527"/>
    <w:rsid w:val="00852C8C"/>
    <w:rsid w:val="00852E2C"/>
    <w:rsid w:val="00852EAD"/>
    <w:rsid w:val="00852FB5"/>
    <w:rsid w:val="008530DA"/>
    <w:rsid w:val="00853309"/>
    <w:rsid w:val="00853738"/>
    <w:rsid w:val="008537AA"/>
    <w:rsid w:val="00853CD8"/>
    <w:rsid w:val="0085436D"/>
    <w:rsid w:val="008543F9"/>
    <w:rsid w:val="00854586"/>
    <w:rsid w:val="008545CD"/>
    <w:rsid w:val="00854633"/>
    <w:rsid w:val="008549F2"/>
    <w:rsid w:val="00854A81"/>
    <w:rsid w:val="0085529A"/>
    <w:rsid w:val="00855361"/>
    <w:rsid w:val="00855809"/>
    <w:rsid w:val="00856294"/>
    <w:rsid w:val="00856334"/>
    <w:rsid w:val="008563B0"/>
    <w:rsid w:val="00856578"/>
    <w:rsid w:val="0085667C"/>
    <w:rsid w:val="008568E5"/>
    <w:rsid w:val="00856A51"/>
    <w:rsid w:val="00856A69"/>
    <w:rsid w:val="00856BA4"/>
    <w:rsid w:val="00856C3F"/>
    <w:rsid w:val="008572B9"/>
    <w:rsid w:val="008574CD"/>
    <w:rsid w:val="00857735"/>
    <w:rsid w:val="00857844"/>
    <w:rsid w:val="00857A96"/>
    <w:rsid w:val="00857AA2"/>
    <w:rsid w:val="00857CC8"/>
    <w:rsid w:val="00857CFC"/>
    <w:rsid w:val="008608EF"/>
    <w:rsid w:val="00860ADD"/>
    <w:rsid w:val="00860F4D"/>
    <w:rsid w:val="00861003"/>
    <w:rsid w:val="00861328"/>
    <w:rsid w:val="00861A20"/>
    <w:rsid w:val="00861C48"/>
    <w:rsid w:val="00862058"/>
    <w:rsid w:val="0086205D"/>
    <w:rsid w:val="00862A42"/>
    <w:rsid w:val="00862E1E"/>
    <w:rsid w:val="00863087"/>
    <w:rsid w:val="00863390"/>
    <w:rsid w:val="0086357E"/>
    <w:rsid w:val="00863A42"/>
    <w:rsid w:val="00864488"/>
    <w:rsid w:val="00864517"/>
    <w:rsid w:val="008646C3"/>
    <w:rsid w:val="00864A70"/>
    <w:rsid w:val="00864C1D"/>
    <w:rsid w:val="00865458"/>
    <w:rsid w:val="00865AB0"/>
    <w:rsid w:val="008660FC"/>
    <w:rsid w:val="008661E4"/>
    <w:rsid w:val="00866B35"/>
    <w:rsid w:val="00866B43"/>
    <w:rsid w:val="00866ECA"/>
    <w:rsid w:val="00867D67"/>
    <w:rsid w:val="0087037E"/>
    <w:rsid w:val="008708B8"/>
    <w:rsid w:val="00870E2C"/>
    <w:rsid w:val="0087111F"/>
    <w:rsid w:val="00871179"/>
    <w:rsid w:val="008711A8"/>
    <w:rsid w:val="00871550"/>
    <w:rsid w:val="00871AFC"/>
    <w:rsid w:val="008724FF"/>
    <w:rsid w:val="00872623"/>
    <w:rsid w:val="00872A71"/>
    <w:rsid w:val="00872B8E"/>
    <w:rsid w:val="00872BB0"/>
    <w:rsid w:val="00873322"/>
    <w:rsid w:val="008739ED"/>
    <w:rsid w:val="00873B8E"/>
    <w:rsid w:val="00873E96"/>
    <w:rsid w:val="008741CA"/>
    <w:rsid w:val="008748D3"/>
    <w:rsid w:val="008750A7"/>
    <w:rsid w:val="008750AD"/>
    <w:rsid w:val="008753C6"/>
    <w:rsid w:val="00875584"/>
    <w:rsid w:val="008765F5"/>
    <w:rsid w:val="00876C7B"/>
    <w:rsid w:val="00877070"/>
    <w:rsid w:val="008778DA"/>
    <w:rsid w:val="00877B7F"/>
    <w:rsid w:val="00877FAC"/>
    <w:rsid w:val="00880443"/>
    <w:rsid w:val="00880886"/>
    <w:rsid w:val="008808EE"/>
    <w:rsid w:val="00880BE7"/>
    <w:rsid w:val="00880C1D"/>
    <w:rsid w:val="00880C79"/>
    <w:rsid w:val="00880DCB"/>
    <w:rsid w:val="00880EE7"/>
    <w:rsid w:val="0088131A"/>
    <w:rsid w:val="008818C6"/>
    <w:rsid w:val="008819DA"/>
    <w:rsid w:val="00881C48"/>
    <w:rsid w:val="00881D9F"/>
    <w:rsid w:val="00881E74"/>
    <w:rsid w:val="00881F4A"/>
    <w:rsid w:val="00882A79"/>
    <w:rsid w:val="00882DFD"/>
    <w:rsid w:val="00883422"/>
    <w:rsid w:val="008839D2"/>
    <w:rsid w:val="00883C2E"/>
    <w:rsid w:val="00883D32"/>
    <w:rsid w:val="00883D9A"/>
    <w:rsid w:val="008849C6"/>
    <w:rsid w:val="00884D7C"/>
    <w:rsid w:val="00884E4F"/>
    <w:rsid w:val="00885416"/>
    <w:rsid w:val="00885435"/>
    <w:rsid w:val="0088564B"/>
    <w:rsid w:val="00885B8B"/>
    <w:rsid w:val="00885C11"/>
    <w:rsid w:val="00885D40"/>
    <w:rsid w:val="00885DB9"/>
    <w:rsid w:val="00885DEA"/>
    <w:rsid w:val="0088623F"/>
    <w:rsid w:val="00886347"/>
    <w:rsid w:val="008863CB"/>
    <w:rsid w:val="0088640F"/>
    <w:rsid w:val="008866D8"/>
    <w:rsid w:val="008869B1"/>
    <w:rsid w:val="00886B0D"/>
    <w:rsid w:val="008871A2"/>
    <w:rsid w:val="008873ED"/>
    <w:rsid w:val="0088778A"/>
    <w:rsid w:val="00887E64"/>
    <w:rsid w:val="00890125"/>
    <w:rsid w:val="00890129"/>
    <w:rsid w:val="0089018C"/>
    <w:rsid w:val="008908AA"/>
    <w:rsid w:val="00891301"/>
    <w:rsid w:val="00891367"/>
    <w:rsid w:val="00891DDC"/>
    <w:rsid w:val="00892111"/>
    <w:rsid w:val="0089267B"/>
    <w:rsid w:val="008927F4"/>
    <w:rsid w:val="00892CF7"/>
    <w:rsid w:val="00893609"/>
    <w:rsid w:val="00893A47"/>
    <w:rsid w:val="00893AAC"/>
    <w:rsid w:val="00893D29"/>
    <w:rsid w:val="00893DD2"/>
    <w:rsid w:val="0089401B"/>
    <w:rsid w:val="0089422A"/>
    <w:rsid w:val="00894740"/>
    <w:rsid w:val="00895E70"/>
    <w:rsid w:val="0089604D"/>
    <w:rsid w:val="0089680F"/>
    <w:rsid w:val="00896A9D"/>
    <w:rsid w:val="00896C47"/>
    <w:rsid w:val="00896F6A"/>
    <w:rsid w:val="00897543"/>
    <w:rsid w:val="00897822"/>
    <w:rsid w:val="008A0921"/>
    <w:rsid w:val="008A095F"/>
    <w:rsid w:val="008A0D91"/>
    <w:rsid w:val="008A1778"/>
    <w:rsid w:val="008A1AAF"/>
    <w:rsid w:val="008A1ABC"/>
    <w:rsid w:val="008A1C06"/>
    <w:rsid w:val="008A2168"/>
    <w:rsid w:val="008A2541"/>
    <w:rsid w:val="008A25DE"/>
    <w:rsid w:val="008A25FE"/>
    <w:rsid w:val="008A2689"/>
    <w:rsid w:val="008A27CC"/>
    <w:rsid w:val="008A288A"/>
    <w:rsid w:val="008A29B2"/>
    <w:rsid w:val="008A353F"/>
    <w:rsid w:val="008A3B0C"/>
    <w:rsid w:val="008A3B10"/>
    <w:rsid w:val="008A3C90"/>
    <w:rsid w:val="008A3CE8"/>
    <w:rsid w:val="008A480E"/>
    <w:rsid w:val="008A48C8"/>
    <w:rsid w:val="008A4F60"/>
    <w:rsid w:val="008A522A"/>
    <w:rsid w:val="008A553A"/>
    <w:rsid w:val="008A5814"/>
    <w:rsid w:val="008A5C10"/>
    <w:rsid w:val="008A602F"/>
    <w:rsid w:val="008A6AFA"/>
    <w:rsid w:val="008A6B95"/>
    <w:rsid w:val="008A70BE"/>
    <w:rsid w:val="008A7215"/>
    <w:rsid w:val="008A7E07"/>
    <w:rsid w:val="008B03D1"/>
    <w:rsid w:val="008B0584"/>
    <w:rsid w:val="008B0A0B"/>
    <w:rsid w:val="008B1F1B"/>
    <w:rsid w:val="008B26D7"/>
    <w:rsid w:val="008B28B5"/>
    <w:rsid w:val="008B28F6"/>
    <w:rsid w:val="008B2BEE"/>
    <w:rsid w:val="008B3421"/>
    <w:rsid w:val="008B3B8A"/>
    <w:rsid w:val="008B3BA4"/>
    <w:rsid w:val="008B3BC1"/>
    <w:rsid w:val="008B3FB9"/>
    <w:rsid w:val="008B41D0"/>
    <w:rsid w:val="008B447A"/>
    <w:rsid w:val="008B47E0"/>
    <w:rsid w:val="008B4B84"/>
    <w:rsid w:val="008B4F59"/>
    <w:rsid w:val="008B4F9E"/>
    <w:rsid w:val="008B5306"/>
    <w:rsid w:val="008B5498"/>
    <w:rsid w:val="008B54A4"/>
    <w:rsid w:val="008B5F85"/>
    <w:rsid w:val="008B6016"/>
    <w:rsid w:val="008B60A4"/>
    <w:rsid w:val="008B64AF"/>
    <w:rsid w:val="008B6A99"/>
    <w:rsid w:val="008B6C79"/>
    <w:rsid w:val="008B72F0"/>
    <w:rsid w:val="008B75B6"/>
    <w:rsid w:val="008B79CC"/>
    <w:rsid w:val="008C039D"/>
    <w:rsid w:val="008C0423"/>
    <w:rsid w:val="008C05F1"/>
    <w:rsid w:val="008C0854"/>
    <w:rsid w:val="008C0F8A"/>
    <w:rsid w:val="008C122C"/>
    <w:rsid w:val="008C1230"/>
    <w:rsid w:val="008C12EB"/>
    <w:rsid w:val="008C149B"/>
    <w:rsid w:val="008C19A4"/>
    <w:rsid w:val="008C1C56"/>
    <w:rsid w:val="008C1EEE"/>
    <w:rsid w:val="008C1F7B"/>
    <w:rsid w:val="008C2ACD"/>
    <w:rsid w:val="008C2DD5"/>
    <w:rsid w:val="008C3375"/>
    <w:rsid w:val="008C3583"/>
    <w:rsid w:val="008C3B20"/>
    <w:rsid w:val="008C421F"/>
    <w:rsid w:val="008C43DD"/>
    <w:rsid w:val="008C458E"/>
    <w:rsid w:val="008C47DF"/>
    <w:rsid w:val="008C4922"/>
    <w:rsid w:val="008C4BAA"/>
    <w:rsid w:val="008C4C93"/>
    <w:rsid w:val="008C4F01"/>
    <w:rsid w:val="008C5232"/>
    <w:rsid w:val="008C5613"/>
    <w:rsid w:val="008C71B4"/>
    <w:rsid w:val="008C73D5"/>
    <w:rsid w:val="008C7804"/>
    <w:rsid w:val="008C7822"/>
    <w:rsid w:val="008D0394"/>
    <w:rsid w:val="008D053E"/>
    <w:rsid w:val="008D0839"/>
    <w:rsid w:val="008D1266"/>
    <w:rsid w:val="008D129E"/>
    <w:rsid w:val="008D1627"/>
    <w:rsid w:val="008D1CDF"/>
    <w:rsid w:val="008D1F31"/>
    <w:rsid w:val="008D248C"/>
    <w:rsid w:val="008D3048"/>
    <w:rsid w:val="008D4473"/>
    <w:rsid w:val="008D45EB"/>
    <w:rsid w:val="008D48A8"/>
    <w:rsid w:val="008D4FE2"/>
    <w:rsid w:val="008D59B3"/>
    <w:rsid w:val="008D5F17"/>
    <w:rsid w:val="008D6431"/>
    <w:rsid w:val="008D675D"/>
    <w:rsid w:val="008D6A1D"/>
    <w:rsid w:val="008D72A2"/>
    <w:rsid w:val="008D7BAA"/>
    <w:rsid w:val="008D7E6D"/>
    <w:rsid w:val="008D7F1D"/>
    <w:rsid w:val="008E0450"/>
    <w:rsid w:val="008E0AD7"/>
    <w:rsid w:val="008E0DD2"/>
    <w:rsid w:val="008E0EEA"/>
    <w:rsid w:val="008E10B0"/>
    <w:rsid w:val="008E13D6"/>
    <w:rsid w:val="008E1954"/>
    <w:rsid w:val="008E1974"/>
    <w:rsid w:val="008E1FD4"/>
    <w:rsid w:val="008E21C8"/>
    <w:rsid w:val="008E2907"/>
    <w:rsid w:val="008E2FDB"/>
    <w:rsid w:val="008E3259"/>
    <w:rsid w:val="008E36A6"/>
    <w:rsid w:val="008E3872"/>
    <w:rsid w:val="008E3925"/>
    <w:rsid w:val="008E3C83"/>
    <w:rsid w:val="008E517D"/>
    <w:rsid w:val="008E53FC"/>
    <w:rsid w:val="008E560C"/>
    <w:rsid w:val="008E5653"/>
    <w:rsid w:val="008E56D4"/>
    <w:rsid w:val="008E590B"/>
    <w:rsid w:val="008E59E0"/>
    <w:rsid w:val="008E6938"/>
    <w:rsid w:val="008E6AAF"/>
    <w:rsid w:val="008E7340"/>
    <w:rsid w:val="008E761E"/>
    <w:rsid w:val="008E7EEE"/>
    <w:rsid w:val="008F06A3"/>
    <w:rsid w:val="008F0B70"/>
    <w:rsid w:val="008F0C12"/>
    <w:rsid w:val="008F1346"/>
    <w:rsid w:val="008F13EB"/>
    <w:rsid w:val="008F14BE"/>
    <w:rsid w:val="008F192B"/>
    <w:rsid w:val="008F2272"/>
    <w:rsid w:val="008F22B6"/>
    <w:rsid w:val="008F2CE3"/>
    <w:rsid w:val="008F3218"/>
    <w:rsid w:val="008F333A"/>
    <w:rsid w:val="008F37CE"/>
    <w:rsid w:val="008F3832"/>
    <w:rsid w:val="008F395B"/>
    <w:rsid w:val="008F4404"/>
    <w:rsid w:val="008F4418"/>
    <w:rsid w:val="008F463C"/>
    <w:rsid w:val="008F46B7"/>
    <w:rsid w:val="008F4C78"/>
    <w:rsid w:val="008F5195"/>
    <w:rsid w:val="008F546F"/>
    <w:rsid w:val="008F5775"/>
    <w:rsid w:val="008F5B26"/>
    <w:rsid w:val="008F5E93"/>
    <w:rsid w:val="008F6105"/>
    <w:rsid w:val="008F6897"/>
    <w:rsid w:val="008F6CAF"/>
    <w:rsid w:val="008F7AC0"/>
    <w:rsid w:val="00900243"/>
    <w:rsid w:val="00900593"/>
    <w:rsid w:val="00900A00"/>
    <w:rsid w:val="00900E9E"/>
    <w:rsid w:val="00901516"/>
    <w:rsid w:val="0090168F"/>
    <w:rsid w:val="00901AE3"/>
    <w:rsid w:val="009020BC"/>
    <w:rsid w:val="0090220A"/>
    <w:rsid w:val="00902964"/>
    <w:rsid w:val="00902D3B"/>
    <w:rsid w:val="00902F2A"/>
    <w:rsid w:val="009031B2"/>
    <w:rsid w:val="0090321E"/>
    <w:rsid w:val="00903532"/>
    <w:rsid w:val="009035D5"/>
    <w:rsid w:val="00903BAA"/>
    <w:rsid w:val="009040AC"/>
    <w:rsid w:val="009042BB"/>
    <w:rsid w:val="00904BD0"/>
    <w:rsid w:val="00904CFA"/>
    <w:rsid w:val="00904ED6"/>
    <w:rsid w:val="0090533F"/>
    <w:rsid w:val="00905AF0"/>
    <w:rsid w:val="00905DBB"/>
    <w:rsid w:val="0090666C"/>
    <w:rsid w:val="00906B95"/>
    <w:rsid w:val="00906BD0"/>
    <w:rsid w:val="00906BF4"/>
    <w:rsid w:val="00907839"/>
    <w:rsid w:val="00907932"/>
    <w:rsid w:val="00907CD7"/>
    <w:rsid w:val="00907EE2"/>
    <w:rsid w:val="00907F1C"/>
    <w:rsid w:val="00910A8C"/>
    <w:rsid w:val="00910A97"/>
    <w:rsid w:val="00911051"/>
    <w:rsid w:val="00911095"/>
    <w:rsid w:val="009111E3"/>
    <w:rsid w:val="00911535"/>
    <w:rsid w:val="009115A8"/>
    <w:rsid w:val="009118E8"/>
    <w:rsid w:val="00911C2B"/>
    <w:rsid w:val="009120EF"/>
    <w:rsid w:val="009122D9"/>
    <w:rsid w:val="009125D0"/>
    <w:rsid w:val="00912766"/>
    <w:rsid w:val="00912769"/>
    <w:rsid w:val="0091292A"/>
    <w:rsid w:val="00912A83"/>
    <w:rsid w:val="00912B6F"/>
    <w:rsid w:val="009135D0"/>
    <w:rsid w:val="00913776"/>
    <w:rsid w:val="009137DB"/>
    <w:rsid w:val="00914117"/>
    <w:rsid w:val="009145F7"/>
    <w:rsid w:val="009147F7"/>
    <w:rsid w:val="00914BFB"/>
    <w:rsid w:val="00914D0B"/>
    <w:rsid w:val="009155B5"/>
    <w:rsid w:val="009158A2"/>
    <w:rsid w:val="00915A22"/>
    <w:rsid w:val="00915CF1"/>
    <w:rsid w:val="009160A2"/>
    <w:rsid w:val="009160E3"/>
    <w:rsid w:val="00916869"/>
    <w:rsid w:val="009174E7"/>
    <w:rsid w:val="00917C78"/>
    <w:rsid w:val="00917E18"/>
    <w:rsid w:val="00920048"/>
    <w:rsid w:val="00920232"/>
    <w:rsid w:val="009202E1"/>
    <w:rsid w:val="00920504"/>
    <w:rsid w:val="009207A2"/>
    <w:rsid w:val="00920AD0"/>
    <w:rsid w:val="00921132"/>
    <w:rsid w:val="00921F43"/>
    <w:rsid w:val="00921F62"/>
    <w:rsid w:val="009221F6"/>
    <w:rsid w:val="009224C6"/>
    <w:rsid w:val="0092271A"/>
    <w:rsid w:val="009228ED"/>
    <w:rsid w:val="009232A5"/>
    <w:rsid w:val="00923D80"/>
    <w:rsid w:val="00924120"/>
    <w:rsid w:val="00924336"/>
    <w:rsid w:val="00924447"/>
    <w:rsid w:val="0092494B"/>
    <w:rsid w:val="00924B15"/>
    <w:rsid w:val="00924EDF"/>
    <w:rsid w:val="00925AFE"/>
    <w:rsid w:val="00925C55"/>
    <w:rsid w:val="00926664"/>
    <w:rsid w:val="00926A35"/>
    <w:rsid w:val="00926F8C"/>
    <w:rsid w:val="00927267"/>
    <w:rsid w:val="00927475"/>
    <w:rsid w:val="009274B1"/>
    <w:rsid w:val="00927760"/>
    <w:rsid w:val="009277BF"/>
    <w:rsid w:val="0093015B"/>
    <w:rsid w:val="00930383"/>
    <w:rsid w:val="00930F9B"/>
    <w:rsid w:val="009310FD"/>
    <w:rsid w:val="0093112B"/>
    <w:rsid w:val="009315A2"/>
    <w:rsid w:val="00931B58"/>
    <w:rsid w:val="00931D1E"/>
    <w:rsid w:val="00931EE9"/>
    <w:rsid w:val="00931F73"/>
    <w:rsid w:val="009320E5"/>
    <w:rsid w:val="009320E6"/>
    <w:rsid w:val="00932D4B"/>
    <w:rsid w:val="0093314D"/>
    <w:rsid w:val="00933253"/>
    <w:rsid w:val="00933553"/>
    <w:rsid w:val="00933597"/>
    <w:rsid w:val="00933599"/>
    <w:rsid w:val="009336CE"/>
    <w:rsid w:val="0093378B"/>
    <w:rsid w:val="00933BEF"/>
    <w:rsid w:val="00933DF7"/>
    <w:rsid w:val="0093471F"/>
    <w:rsid w:val="009348E5"/>
    <w:rsid w:val="00935439"/>
    <w:rsid w:val="009355EF"/>
    <w:rsid w:val="0093571B"/>
    <w:rsid w:val="00936692"/>
    <w:rsid w:val="00936975"/>
    <w:rsid w:val="00936AB7"/>
    <w:rsid w:val="00936C6D"/>
    <w:rsid w:val="00936DFB"/>
    <w:rsid w:val="009370A3"/>
    <w:rsid w:val="0093742E"/>
    <w:rsid w:val="00937702"/>
    <w:rsid w:val="00937BD7"/>
    <w:rsid w:val="00937EC4"/>
    <w:rsid w:val="00937ED5"/>
    <w:rsid w:val="00937F58"/>
    <w:rsid w:val="0094015C"/>
    <w:rsid w:val="00940AC8"/>
    <w:rsid w:val="00940D51"/>
    <w:rsid w:val="00940DD4"/>
    <w:rsid w:val="00940F3A"/>
    <w:rsid w:val="00941181"/>
    <w:rsid w:val="009412E9"/>
    <w:rsid w:val="00941404"/>
    <w:rsid w:val="00941F0B"/>
    <w:rsid w:val="00941FDE"/>
    <w:rsid w:val="00942600"/>
    <w:rsid w:val="0094263B"/>
    <w:rsid w:val="00942E6A"/>
    <w:rsid w:val="00943257"/>
    <w:rsid w:val="0094326B"/>
    <w:rsid w:val="00943822"/>
    <w:rsid w:val="00943C03"/>
    <w:rsid w:val="00943DA6"/>
    <w:rsid w:val="00943F11"/>
    <w:rsid w:val="00944D49"/>
    <w:rsid w:val="00944D99"/>
    <w:rsid w:val="00944DAC"/>
    <w:rsid w:val="0094530D"/>
    <w:rsid w:val="009453AB"/>
    <w:rsid w:val="00945781"/>
    <w:rsid w:val="009459AA"/>
    <w:rsid w:val="00945DDC"/>
    <w:rsid w:val="00945E7D"/>
    <w:rsid w:val="00945E8A"/>
    <w:rsid w:val="00946216"/>
    <w:rsid w:val="009462C6"/>
    <w:rsid w:val="00946905"/>
    <w:rsid w:val="00946B21"/>
    <w:rsid w:val="00946C8A"/>
    <w:rsid w:val="00946C9B"/>
    <w:rsid w:val="00946ED5"/>
    <w:rsid w:val="00946F4D"/>
    <w:rsid w:val="00947350"/>
    <w:rsid w:val="009478B5"/>
    <w:rsid w:val="0094790C"/>
    <w:rsid w:val="00947960"/>
    <w:rsid w:val="00947C1A"/>
    <w:rsid w:val="00947F77"/>
    <w:rsid w:val="00950064"/>
    <w:rsid w:val="00950167"/>
    <w:rsid w:val="009502AC"/>
    <w:rsid w:val="009506AD"/>
    <w:rsid w:val="009508F6"/>
    <w:rsid w:val="00950A9F"/>
    <w:rsid w:val="00951126"/>
    <w:rsid w:val="00951276"/>
    <w:rsid w:val="009513E7"/>
    <w:rsid w:val="00951629"/>
    <w:rsid w:val="009516E4"/>
    <w:rsid w:val="009525AD"/>
    <w:rsid w:val="009525ED"/>
    <w:rsid w:val="00952635"/>
    <w:rsid w:val="0095288F"/>
    <w:rsid w:val="00952F10"/>
    <w:rsid w:val="009531B7"/>
    <w:rsid w:val="00953976"/>
    <w:rsid w:val="00953F1C"/>
    <w:rsid w:val="0095417F"/>
    <w:rsid w:val="009541C9"/>
    <w:rsid w:val="009546CE"/>
    <w:rsid w:val="009546F6"/>
    <w:rsid w:val="00954A25"/>
    <w:rsid w:val="00954BEC"/>
    <w:rsid w:val="00955182"/>
    <w:rsid w:val="00955546"/>
    <w:rsid w:val="009555F2"/>
    <w:rsid w:val="00955610"/>
    <w:rsid w:val="00955CA1"/>
    <w:rsid w:val="0095686C"/>
    <w:rsid w:val="00956978"/>
    <w:rsid w:val="009575D0"/>
    <w:rsid w:val="00957671"/>
    <w:rsid w:val="00957683"/>
    <w:rsid w:val="009579BC"/>
    <w:rsid w:val="00957C76"/>
    <w:rsid w:val="00957DCD"/>
    <w:rsid w:val="00960C5C"/>
    <w:rsid w:val="009614AE"/>
    <w:rsid w:val="0096194F"/>
    <w:rsid w:val="00961A22"/>
    <w:rsid w:val="00961E07"/>
    <w:rsid w:val="00962103"/>
    <w:rsid w:val="0096221B"/>
    <w:rsid w:val="0096278D"/>
    <w:rsid w:val="009631DB"/>
    <w:rsid w:val="00963A4F"/>
    <w:rsid w:val="00963B59"/>
    <w:rsid w:val="00963E81"/>
    <w:rsid w:val="00963F02"/>
    <w:rsid w:val="00964262"/>
    <w:rsid w:val="00964557"/>
    <w:rsid w:val="009645EF"/>
    <w:rsid w:val="009645F2"/>
    <w:rsid w:val="0096477F"/>
    <w:rsid w:val="0096480B"/>
    <w:rsid w:val="009665D3"/>
    <w:rsid w:val="0096692E"/>
    <w:rsid w:val="00966A3F"/>
    <w:rsid w:val="00966A94"/>
    <w:rsid w:val="00966B0D"/>
    <w:rsid w:val="00966C78"/>
    <w:rsid w:val="00966D4B"/>
    <w:rsid w:val="009672AF"/>
    <w:rsid w:val="009672DE"/>
    <w:rsid w:val="009676BD"/>
    <w:rsid w:val="00967815"/>
    <w:rsid w:val="0096789E"/>
    <w:rsid w:val="00967991"/>
    <w:rsid w:val="00967B1F"/>
    <w:rsid w:val="00967CF1"/>
    <w:rsid w:val="00970858"/>
    <w:rsid w:val="00970978"/>
    <w:rsid w:val="00970D45"/>
    <w:rsid w:val="00971839"/>
    <w:rsid w:val="00971987"/>
    <w:rsid w:val="00971AE3"/>
    <w:rsid w:val="00971DF8"/>
    <w:rsid w:val="0097206D"/>
    <w:rsid w:val="0097207B"/>
    <w:rsid w:val="0097234B"/>
    <w:rsid w:val="009726F7"/>
    <w:rsid w:val="0097278D"/>
    <w:rsid w:val="0097298F"/>
    <w:rsid w:val="00972BED"/>
    <w:rsid w:val="00972F4E"/>
    <w:rsid w:val="00972FEE"/>
    <w:rsid w:val="0097302A"/>
    <w:rsid w:val="00973867"/>
    <w:rsid w:val="009739C8"/>
    <w:rsid w:val="009742CC"/>
    <w:rsid w:val="0097467A"/>
    <w:rsid w:val="00974702"/>
    <w:rsid w:val="009748E2"/>
    <w:rsid w:val="00974903"/>
    <w:rsid w:val="00974B40"/>
    <w:rsid w:val="00974D3E"/>
    <w:rsid w:val="00975A46"/>
    <w:rsid w:val="00975A94"/>
    <w:rsid w:val="009762CB"/>
    <w:rsid w:val="00976585"/>
    <w:rsid w:val="00976FEF"/>
    <w:rsid w:val="009772C8"/>
    <w:rsid w:val="00977F3C"/>
    <w:rsid w:val="00980252"/>
    <w:rsid w:val="009805BA"/>
    <w:rsid w:val="009807E7"/>
    <w:rsid w:val="00981123"/>
    <w:rsid w:val="0098123D"/>
    <w:rsid w:val="009816EA"/>
    <w:rsid w:val="009819DB"/>
    <w:rsid w:val="00981C89"/>
    <w:rsid w:val="00981FBA"/>
    <w:rsid w:val="009820C5"/>
    <w:rsid w:val="0098220D"/>
    <w:rsid w:val="00982683"/>
    <w:rsid w:val="00982F6E"/>
    <w:rsid w:val="00983336"/>
    <w:rsid w:val="00983805"/>
    <w:rsid w:val="00983889"/>
    <w:rsid w:val="00983B14"/>
    <w:rsid w:val="00983BDA"/>
    <w:rsid w:val="00983E46"/>
    <w:rsid w:val="009847E9"/>
    <w:rsid w:val="00984817"/>
    <w:rsid w:val="00984C51"/>
    <w:rsid w:val="00984F01"/>
    <w:rsid w:val="00985012"/>
    <w:rsid w:val="00985118"/>
    <w:rsid w:val="009851F9"/>
    <w:rsid w:val="009854BD"/>
    <w:rsid w:val="0098553C"/>
    <w:rsid w:val="0098591A"/>
    <w:rsid w:val="00985A39"/>
    <w:rsid w:val="00985DDD"/>
    <w:rsid w:val="00986413"/>
    <w:rsid w:val="00986788"/>
    <w:rsid w:val="009867FB"/>
    <w:rsid w:val="00986967"/>
    <w:rsid w:val="00986CE8"/>
    <w:rsid w:val="009872D1"/>
    <w:rsid w:val="00990162"/>
    <w:rsid w:val="0099017C"/>
    <w:rsid w:val="00990ABD"/>
    <w:rsid w:val="00990DB6"/>
    <w:rsid w:val="00992088"/>
    <w:rsid w:val="00992380"/>
    <w:rsid w:val="00992AFC"/>
    <w:rsid w:val="009932F4"/>
    <w:rsid w:val="0099378C"/>
    <w:rsid w:val="00993C11"/>
    <w:rsid w:val="00993F27"/>
    <w:rsid w:val="0099461F"/>
    <w:rsid w:val="00994AB0"/>
    <w:rsid w:val="00994FAA"/>
    <w:rsid w:val="00995CEA"/>
    <w:rsid w:val="00996950"/>
    <w:rsid w:val="00996FCF"/>
    <w:rsid w:val="009975D8"/>
    <w:rsid w:val="00997EE2"/>
    <w:rsid w:val="00997F1F"/>
    <w:rsid w:val="009A015B"/>
    <w:rsid w:val="009A1029"/>
    <w:rsid w:val="009A113F"/>
    <w:rsid w:val="009A1E64"/>
    <w:rsid w:val="009A2016"/>
    <w:rsid w:val="009A2179"/>
    <w:rsid w:val="009A28B1"/>
    <w:rsid w:val="009A2DD3"/>
    <w:rsid w:val="009A32EB"/>
    <w:rsid w:val="009A3703"/>
    <w:rsid w:val="009A38AD"/>
    <w:rsid w:val="009A396E"/>
    <w:rsid w:val="009A39A5"/>
    <w:rsid w:val="009A3BB1"/>
    <w:rsid w:val="009A43CA"/>
    <w:rsid w:val="009A50D2"/>
    <w:rsid w:val="009A5521"/>
    <w:rsid w:val="009A559F"/>
    <w:rsid w:val="009A5D84"/>
    <w:rsid w:val="009A5F47"/>
    <w:rsid w:val="009A6285"/>
    <w:rsid w:val="009A65D2"/>
    <w:rsid w:val="009A66C3"/>
    <w:rsid w:val="009A77BC"/>
    <w:rsid w:val="009A7825"/>
    <w:rsid w:val="009A79AB"/>
    <w:rsid w:val="009A7C87"/>
    <w:rsid w:val="009B0ABD"/>
    <w:rsid w:val="009B0B5E"/>
    <w:rsid w:val="009B0E78"/>
    <w:rsid w:val="009B113C"/>
    <w:rsid w:val="009B1581"/>
    <w:rsid w:val="009B18BF"/>
    <w:rsid w:val="009B1A9C"/>
    <w:rsid w:val="009B228A"/>
    <w:rsid w:val="009B2B6F"/>
    <w:rsid w:val="009B2EE8"/>
    <w:rsid w:val="009B3696"/>
    <w:rsid w:val="009B37B3"/>
    <w:rsid w:val="009B37E7"/>
    <w:rsid w:val="009B3E7C"/>
    <w:rsid w:val="009B4157"/>
    <w:rsid w:val="009B4ADD"/>
    <w:rsid w:val="009B4AFD"/>
    <w:rsid w:val="009B4BDE"/>
    <w:rsid w:val="009B5098"/>
    <w:rsid w:val="009B57AB"/>
    <w:rsid w:val="009B5992"/>
    <w:rsid w:val="009B5A90"/>
    <w:rsid w:val="009B5B2F"/>
    <w:rsid w:val="009B609D"/>
    <w:rsid w:val="009B657C"/>
    <w:rsid w:val="009B6738"/>
    <w:rsid w:val="009B6CF6"/>
    <w:rsid w:val="009B7074"/>
    <w:rsid w:val="009B765A"/>
    <w:rsid w:val="009B7D43"/>
    <w:rsid w:val="009B7F7C"/>
    <w:rsid w:val="009C0072"/>
    <w:rsid w:val="009C0558"/>
    <w:rsid w:val="009C08A0"/>
    <w:rsid w:val="009C0A00"/>
    <w:rsid w:val="009C0B7D"/>
    <w:rsid w:val="009C0F50"/>
    <w:rsid w:val="009C1039"/>
    <w:rsid w:val="009C12A8"/>
    <w:rsid w:val="009C1490"/>
    <w:rsid w:val="009C1FC1"/>
    <w:rsid w:val="009C22C2"/>
    <w:rsid w:val="009C26B1"/>
    <w:rsid w:val="009C2768"/>
    <w:rsid w:val="009C27DB"/>
    <w:rsid w:val="009C33C5"/>
    <w:rsid w:val="009C3810"/>
    <w:rsid w:val="009C4FB6"/>
    <w:rsid w:val="009C500E"/>
    <w:rsid w:val="009C51C2"/>
    <w:rsid w:val="009C5326"/>
    <w:rsid w:val="009C55A3"/>
    <w:rsid w:val="009C5AB8"/>
    <w:rsid w:val="009C62BA"/>
    <w:rsid w:val="009C636F"/>
    <w:rsid w:val="009C6A59"/>
    <w:rsid w:val="009C743B"/>
    <w:rsid w:val="009C77E3"/>
    <w:rsid w:val="009C782B"/>
    <w:rsid w:val="009C79A3"/>
    <w:rsid w:val="009C7A94"/>
    <w:rsid w:val="009C7AFE"/>
    <w:rsid w:val="009C7F54"/>
    <w:rsid w:val="009D0151"/>
    <w:rsid w:val="009D0579"/>
    <w:rsid w:val="009D0FF6"/>
    <w:rsid w:val="009D1482"/>
    <w:rsid w:val="009D15A0"/>
    <w:rsid w:val="009D16FA"/>
    <w:rsid w:val="009D20E9"/>
    <w:rsid w:val="009D2125"/>
    <w:rsid w:val="009D2D44"/>
    <w:rsid w:val="009D2DEA"/>
    <w:rsid w:val="009D3103"/>
    <w:rsid w:val="009D3720"/>
    <w:rsid w:val="009D382A"/>
    <w:rsid w:val="009D3969"/>
    <w:rsid w:val="009D3A3A"/>
    <w:rsid w:val="009D43CA"/>
    <w:rsid w:val="009D4D7E"/>
    <w:rsid w:val="009D5BE9"/>
    <w:rsid w:val="009D5C78"/>
    <w:rsid w:val="009D5E00"/>
    <w:rsid w:val="009D628D"/>
    <w:rsid w:val="009D6857"/>
    <w:rsid w:val="009D6D87"/>
    <w:rsid w:val="009D6E31"/>
    <w:rsid w:val="009D6FEB"/>
    <w:rsid w:val="009D779F"/>
    <w:rsid w:val="009D7C3A"/>
    <w:rsid w:val="009D7E4F"/>
    <w:rsid w:val="009E0467"/>
    <w:rsid w:val="009E0915"/>
    <w:rsid w:val="009E11AD"/>
    <w:rsid w:val="009E137D"/>
    <w:rsid w:val="009E1460"/>
    <w:rsid w:val="009E1854"/>
    <w:rsid w:val="009E18A3"/>
    <w:rsid w:val="009E20BC"/>
    <w:rsid w:val="009E2E84"/>
    <w:rsid w:val="009E2F25"/>
    <w:rsid w:val="009E2F66"/>
    <w:rsid w:val="009E38FF"/>
    <w:rsid w:val="009E3E32"/>
    <w:rsid w:val="009E4AC5"/>
    <w:rsid w:val="009E5502"/>
    <w:rsid w:val="009E6042"/>
    <w:rsid w:val="009E6E06"/>
    <w:rsid w:val="009E78CE"/>
    <w:rsid w:val="009E7BCA"/>
    <w:rsid w:val="009E7CA6"/>
    <w:rsid w:val="009F0E77"/>
    <w:rsid w:val="009F141B"/>
    <w:rsid w:val="009F198D"/>
    <w:rsid w:val="009F1A06"/>
    <w:rsid w:val="009F2229"/>
    <w:rsid w:val="009F2631"/>
    <w:rsid w:val="009F29D5"/>
    <w:rsid w:val="009F2A1D"/>
    <w:rsid w:val="009F3051"/>
    <w:rsid w:val="009F3168"/>
    <w:rsid w:val="009F32B5"/>
    <w:rsid w:val="009F3F2C"/>
    <w:rsid w:val="009F4147"/>
    <w:rsid w:val="009F47DD"/>
    <w:rsid w:val="009F4A74"/>
    <w:rsid w:val="009F4E13"/>
    <w:rsid w:val="009F57C2"/>
    <w:rsid w:val="009F5CD1"/>
    <w:rsid w:val="009F5CD6"/>
    <w:rsid w:val="009F6696"/>
    <w:rsid w:val="009F6E25"/>
    <w:rsid w:val="009F7154"/>
    <w:rsid w:val="009F72A3"/>
    <w:rsid w:val="009F7DC2"/>
    <w:rsid w:val="00A00234"/>
    <w:rsid w:val="00A005A5"/>
    <w:rsid w:val="00A00805"/>
    <w:rsid w:val="00A00D30"/>
    <w:rsid w:val="00A010D5"/>
    <w:rsid w:val="00A013A5"/>
    <w:rsid w:val="00A01BCF"/>
    <w:rsid w:val="00A023EF"/>
    <w:rsid w:val="00A025A7"/>
    <w:rsid w:val="00A0279F"/>
    <w:rsid w:val="00A02C32"/>
    <w:rsid w:val="00A02E6A"/>
    <w:rsid w:val="00A03244"/>
    <w:rsid w:val="00A0328F"/>
    <w:rsid w:val="00A0330D"/>
    <w:rsid w:val="00A0398F"/>
    <w:rsid w:val="00A03D50"/>
    <w:rsid w:val="00A04242"/>
    <w:rsid w:val="00A044DC"/>
    <w:rsid w:val="00A05000"/>
    <w:rsid w:val="00A0561B"/>
    <w:rsid w:val="00A06902"/>
    <w:rsid w:val="00A06934"/>
    <w:rsid w:val="00A069AD"/>
    <w:rsid w:val="00A06FA1"/>
    <w:rsid w:val="00A0705E"/>
    <w:rsid w:val="00A07508"/>
    <w:rsid w:val="00A07C66"/>
    <w:rsid w:val="00A07CA0"/>
    <w:rsid w:val="00A07D2B"/>
    <w:rsid w:val="00A07DB3"/>
    <w:rsid w:val="00A07E84"/>
    <w:rsid w:val="00A07FED"/>
    <w:rsid w:val="00A10872"/>
    <w:rsid w:val="00A10F7B"/>
    <w:rsid w:val="00A123B7"/>
    <w:rsid w:val="00A129E2"/>
    <w:rsid w:val="00A12A6F"/>
    <w:rsid w:val="00A12E05"/>
    <w:rsid w:val="00A12F62"/>
    <w:rsid w:val="00A1378F"/>
    <w:rsid w:val="00A137BD"/>
    <w:rsid w:val="00A13C05"/>
    <w:rsid w:val="00A13D91"/>
    <w:rsid w:val="00A13DF0"/>
    <w:rsid w:val="00A13F34"/>
    <w:rsid w:val="00A14588"/>
    <w:rsid w:val="00A146B1"/>
    <w:rsid w:val="00A14B2B"/>
    <w:rsid w:val="00A14D17"/>
    <w:rsid w:val="00A14F19"/>
    <w:rsid w:val="00A1513B"/>
    <w:rsid w:val="00A15A79"/>
    <w:rsid w:val="00A15B58"/>
    <w:rsid w:val="00A164AC"/>
    <w:rsid w:val="00A1661B"/>
    <w:rsid w:val="00A168C7"/>
    <w:rsid w:val="00A16908"/>
    <w:rsid w:val="00A16E1E"/>
    <w:rsid w:val="00A17103"/>
    <w:rsid w:val="00A17539"/>
    <w:rsid w:val="00A17AE8"/>
    <w:rsid w:val="00A20400"/>
    <w:rsid w:val="00A2040E"/>
    <w:rsid w:val="00A20481"/>
    <w:rsid w:val="00A20A1A"/>
    <w:rsid w:val="00A20E80"/>
    <w:rsid w:val="00A20E9C"/>
    <w:rsid w:val="00A210BE"/>
    <w:rsid w:val="00A21181"/>
    <w:rsid w:val="00A214FF"/>
    <w:rsid w:val="00A215C8"/>
    <w:rsid w:val="00A2231E"/>
    <w:rsid w:val="00A2232D"/>
    <w:rsid w:val="00A2324C"/>
    <w:rsid w:val="00A232E3"/>
    <w:rsid w:val="00A23B0B"/>
    <w:rsid w:val="00A23DFC"/>
    <w:rsid w:val="00A2476F"/>
    <w:rsid w:val="00A24DF2"/>
    <w:rsid w:val="00A25B42"/>
    <w:rsid w:val="00A25C35"/>
    <w:rsid w:val="00A269DD"/>
    <w:rsid w:val="00A26FC9"/>
    <w:rsid w:val="00A271C9"/>
    <w:rsid w:val="00A27593"/>
    <w:rsid w:val="00A275B8"/>
    <w:rsid w:val="00A27CA0"/>
    <w:rsid w:val="00A3080A"/>
    <w:rsid w:val="00A30925"/>
    <w:rsid w:val="00A30C21"/>
    <w:rsid w:val="00A30F94"/>
    <w:rsid w:val="00A30FF2"/>
    <w:rsid w:val="00A3183D"/>
    <w:rsid w:val="00A32334"/>
    <w:rsid w:val="00A33DB4"/>
    <w:rsid w:val="00A348F6"/>
    <w:rsid w:val="00A34FF2"/>
    <w:rsid w:val="00A3554E"/>
    <w:rsid w:val="00A3572D"/>
    <w:rsid w:val="00A35B04"/>
    <w:rsid w:val="00A3602C"/>
    <w:rsid w:val="00A3699E"/>
    <w:rsid w:val="00A3712E"/>
    <w:rsid w:val="00A372AB"/>
    <w:rsid w:val="00A37901"/>
    <w:rsid w:val="00A37A58"/>
    <w:rsid w:val="00A40C8B"/>
    <w:rsid w:val="00A40EFB"/>
    <w:rsid w:val="00A4117F"/>
    <w:rsid w:val="00A4178E"/>
    <w:rsid w:val="00A41C2B"/>
    <w:rsid w:val="00A4228C"/>
    <w:rsid w:val="00A423E4"/>
    <w:rsid w:val="00A437DC"/>
    <w:rsid w:val="00A44004"/>
    <w:rsid w:val="00A4401C"/>
    <w:rsid w:val="00A440E3"/>
    <w:rsid w:val="00A44574"/>
    <w:rsid w:val="00A44F68"/>
    <w:rsid w:val="00A45104"/>
    <w:rsid w:val="00A45205"/>
    <w:rsid w:val="00A4581D"/>
    <w:rsid w:val="00A458D8"/>
    <w:rsid w:val="00A459A8"/>
    <w:rsid w:val="00A45B44"/>
    <w:rsid w:val="00A45B53"/>
    <w:rsid w:val="00A45C3F"/>
    <w:rsid w:val="00A45F15"/>
    <w:rsid w:val="00A46350"/>
    <w:rsid w:val="00A465E4"/>
    <w:rsid w:val="00A46A26"/>
    <w:rsid w:val="00A474D4"/>
    <w:rsid w:val="00A479A2"/>
    <w:rsid w:val="00A5037C"/>
    <w:rsid w:val="00A51286"/>
    <w:rsid w:val="00A512ED"/>
    <w:rsid w:val="00A5177E"/>
    <w:rsid w:val="00A51EFE"/>
    <w:rsid w:val="00A52082"/>
    <w:rsid w:val="00A52153"/>
    <w:rsid w:val="00A521B7"/>
    <w:rsid w:val="00A52202"/>
    <w:rsid w:val="00A5281E"/>
    <w:rsid w:val="00A52A15"/>
    <w:rsid w:val="00A52D04"/>
    <w:rsid w:val="00A531BF"/>
    <w:rsid w:val="00A53C37"/>
    <w:rsid w:val="00A53C90"/>
    <w:rsid w:val="00A53EA4"/>
    <w:rsid w:val="00A54240"/>
    <w:rsid w:val="00A54353"/>
    <w:rsid w:val="00A54883"/>
    <w:rsid w:val="00A548A3"/>
    <w:rsid w:val="00A55B67"/>
    <w:rsid w:val="00A55DEA"/>
    <w:rsid w:val="00A560A4"/>
    <w:rsid w:val="00A56291"/>
    <w:rsid w:val="00A565D3"/>
    <w:rsid w:val="00A566B3"/>
    <w:rsid w:val="00A577D9"/>
    <w:rsid w:val="00A57B37"/>
    <w:rsid w:val="00A60446"/>
    <w:rsid w:val="00A60450"/>
    <w:rsid w:val="00A606A9"/>
    <w:rsid w:val="00A60995"/>
    <w:rsid w:val="00A60B66"/>
    <w:rsid w:val="00A60F9E"/>
    <w:rsid w:val="00A61429"/>
    <w:rsid w:val="00A6144A"/>
    <w:rsid w:val="00A6191F"/>
    <w:rsid w:val="00A61952"/>
    <w:rsid w:val="00A61F30"/>
    <w:rsid w:val="00A6257E"/>
    <w:rsid w:val="00A63023"/>
    <w:rsid w:val="00A631E5"/>
    <w:rsid w:val="00A63B91"/>
    <w:rsid w:val="00A6401C"/>
    <w:rsid w:val="00A64987"/>
    <w:rsid w:val="00A64F95"/>
    <w:rsid w:val="00A654E7"/>
    <w:rsid w:val="00A65A5E"/>
    <w:rsid w:val="00A65BD7"/>
    <w:rsid w:val="00A65D9A"/>
    <w:rsid w:val="00A65F01"/>
    <w:rsid w:val="00A66113"/>
    <w:rsid w:val="00A66424"/>
    <w:rsid w:val="00A67CAD"/>
    <w:rsid w:val="00A703FF"/>
    <w:rsid w:val="00A71012"/>
    <w:rsid w:val="00A71885"/>
    <w:rsid w:val="00A71E26"/>
    <w:rsid w:val="00A72B0F"/>
    <w:rsid w:val="00A73094"/>
    <w:rsid w:val="00A73369"/>
    <w:rsid w:val="00A7354D"/>
    <w:rsid w:val="00A73864"/>
    <w:rsid w:val="00A73BD4"/>
    <w:rsid w:val="00A73D94"/>
    <w:rsid w:val="00A74307"/>
    <w:rsid w:val="00A74E28"/>
    <w:rsid w:val="00A74E94"/>
    <w:rsid w:val="00A75AFA"/>
    <w:rsid w:val="00A75D09"/>
    <w:rsid w:val="00A7722B"/>
    <w:rsid w:val="00A77F5B"/>
    <w:rsid w:val="00A803FA"/>
    <w:rsid w:val="00A80631"/>
    <w:rsid w:val="00A8067D"/>
    <w:rsid w:val="00A80D75"/>
    <w:rsid w:val="00A80DDA"/>
    <w:rsid w:val="00A80E16"/>
    <w:rsid w:val="00A80E28"/>
    <w:rsid w:val="00A81054"/>
    <w:rsid w:val="00A81323"/>
    <w:rsid w:val="00A818B9"/>
    <w:rsid w:val="00A81BC7"/>
    <w:rsid w:val="00A8231A"/>
    <w:rsid w:val="00A823D0"/>
    <w:rsid w:val="00A82AAD"/>
    <w:rsid w:val="00A82CAB"/>
    <w:rsid w:val="00A82F6E"/>
    <w:rsid w:val="00A82FEC"/>
    <w:rsid w:val="00A8306A"/>
    <w:rsid w:val="00A8311A"/>
    <w:rsid w:val="00A8366D"/>
    <w:rsid w:val="00A839D9"/>
    <w:rsid w:val="00A83DBD"/>
    <w:rsid w:val="00A84A61"/>
    <w:rsid w:val="00A84B3E"/>
    <w:rsid w:val="00A84C59"/>
    <w:rsid w:val="00A84CCC"/>
    <w:rsid w:val="00A84CF6"/>
    <w:rsid w:val="00A85804"/>
    <w:rsid w:val="00A85E3F"/>
    <w:rsid w:val="00A863F1"/>
    <w:rsid w:val="00A867D2"/>
    <w:rsid w:val="00A86C61"/>
    <w:rsid w:val="00A87042"/>
    <w:rsid w:val="00A87114"/>
    <w:rsid w:val="00A87362"/>
    <w:rsid w:val="00A87CDE"/>
    <w:rsid w:val="00A87DD7"/>
    <w:rsid w:val="00A9029D"/>
    <w:rsid w:val="00A90395"/>
    <w:rsid w:val="00A9066D"/>
    <w:rsid w:val="00A906DE"/>
    <w:rsid w:val="00A9085C"/>
    <w:rsid w:val="00A9087C"/>
    <w:rsid w:val="00A90EE6"/>
    <w:rsid w:val="00A910C0"/>
    <w:rsid w:val="00A91786"/>
    <w:rsid w:val="00A92889"/>
    <w:rsid w:val="00A928D8"/>
    <w:rsid w:val="00A92C98"/>
    <w:rsid w:val="00A9379F"/>
    <w:rsid w:val="00A937B3"/>
    <w:rsid w:val="00A93927"/>
    <w:rsid w:val="00A93C84"/>
    <w:rsid w:val="00A94363"/>
    <w:rsid w:val="00A94868"/>
    <w:rsid w:val="00A94DCB"/>
    <w:rsid w:val="00A953AC"/>
    <w:rsid w:val="00A95540"/>
    <w:rsid w:val="00A955AD"/>
    <w:rsid w:val="00A9573A"/>
    <w:rsid w:val="00A95795"/>
    <w:rsid w:val="00A95D67"/>
    <w:rsid w:val="00A960A8"/>
    <w:rsid w:val="00A9690F"/>
    <w:rsid w:val="00A96A46"/>
    <w:rsid w:val="00A97033"/>
    <w:rsid w:val="00A97A7A"/>
    <w:rsid w:val="00AA0CB6"/>
    <w:rsid w:val="00AA1047"/>
    <w:rsid w:val="00AA15FE"/>
    <w:rsid w:val="00AA1EE0"/>
    <w:rsid w:val="00AA1FAC"/>
    <w:rsid w:val="00AA225D"/>
    <w:rsid w:val="00AA22E7"/>
    <w:rsid w:val="00AA26C5"/>
    <w:rsid w:val="00AA2824"/>
    <w:rsid w:val="00AA2BB8"/>
    <w:rsid w:val="00AA2DF8"/>
    <w:rsid w:val="00AA2F6A"/>
    <w:rsid w:val="00AA47A8"/>
    <w:rsid w:val="00AA4BAB"/>
    <w:rsid w:val="00AA51A4"/>
    <w:rsid w:val="00AA5BC1"/>
    <w:rsid w:val="00AA5C3B"/>
    <w:rsid w:val="00AA6019"/>
    <w:rsid w:val="00AA690C"/>
    <w:rsid w:val="00AA6A68"/>
    <w:rsid w:val="00AA6B73"/>
    <w:rsid w:val="00AA6B85"/>
    <w:rsid w:val="00AA7271"/>
    <w:rsid w:val="00AA7E96"/>
    <w:rsid w:val="00AB0014"/>
    <w:rsid w:val="00AB082B"/>
    <w:rsid w:val="00AB0D67"/>
    <w:rsid w:val="00AB17E1"/>
    <w:rsid w:val="00AB1B41"/>
    <w:rsid w:val="00AB2636"/>
    <w:rsid w:val="00AB2AAE"/>
    <w:rsid w:val="00AB2EFC"/>
    <w:rsid w:val="00AB36AE"/>
    <w:rsid w:val="00AB3809"/>
    <w:rsid w:val="00AB3E10"/>
    <w:rsid w:val="00AB460D"/>
    <w:rsid w:val="00AB4AE3"/>
    <w:rsid w:val="00AB4B7D"/>
    <w:rsid w:val="00AB4B81"/>
    <w:rsid w:val="00AB5324"/>
    <w:rsid w:val="00AB55F1"/>
    <w:rsid w:val="00AB5A8B"/>
    <w:rsid w:val="00AB6E84"/>
    <w:rsid w:val="00AB732C"/>
    <w:rsid w:val="00AB73D4"/>
    <w:rsid w:val="00AB7630"/>
    <w:rsid w:val="00AB776F"/>
    <w:rsid w:val="00AB78E7"/>
    <w:rsid w:val="00AB7B6A"/>
    <w:rsid w:val="00AB7BDC"/>
    <w:rsid w:val="00AC03DA"/>
    <w:rsid w:val="00AC0926"/>
    <w:rsid w:val="00AC0A83"/>
    <w:rsid w:val="00AC0F80"/>
    <w:rsid w:val="00AC1624"/>
    <w:rsid w:val="00AC1B32"/>
    <w:rsid w:val="00AC1FCB"/>
    <w:rsid w:val="00AC2609"/>
    <w:rsid w:val="00AC2A87"/>
    <w:rsid w:val="00AC2BCD"/>
    <w:rsid w:val="00AC2C96"/>
    <w:rsid w:val="00AC3896"/>
    <w:rsid w:val="00AC4104"/>
    <w:rsid w:val="00AC4411"/>
    <w:rsid w:val="00AC4A27"/>
    <w:rsid w:val="00AC4B2D"/>
    <w:rsid w:val="00AC4B91"/>
    <w:rsid w:val="00AC4F3F"/>
    <w:rsid w:val="00AC5317"/>
    <w:rsid w:val="00AC543E"/>
    <w:rsid w:val="00AC567E"/>
    <w:rsid w:val="00AC5B99"/>
    <w:rsid w:val="00AC5BBF"/>
    <w:rsid w:val="00AC5BF5"/>
    <w:rsid w:val="00AC5DA0"/>
    <w:rsid w:val="00AC6F4C"/>
    <w:rsid w:val="00AC700F"/>
    <w:rsid w:val="00AC7272"/>
    <w:rsid w:val="00AC74BF"/>
    <w:rsid w:val="00AC76EC"/>
    <w:rsid w:val="00AC7988"/>
    <w:rsid w:val="00AC7A44"/>
    <w:rsid w:val="00AD0663"/>
    <w:rsid w:val="00AD189E"/>
    <w:rsid w:val="00AD218E"/>
    <w:rsid w:val="00AD277C"/>
    <w:rsid w:val="00AD281E"/>
    <w:rsid w:val="00AD2F85"/>
    <w:rsid w:val="00AD3466"/>
    <w:rsid w:val="00AD377B"/>
    <w:rsid w:val="00AD39D5"/>
    <w:rsid w:val="00AD4756"/>
    <w:rsid w:val="00AD4840"/>
    <w:rsid w:val="00AD48AB"/>
    <w:rsid w:val="00AD4DCF"/>
    <w:rsid w:val="00AD514B"/>
    <w:rsid w:val="00AD5199"/>
    <w:rsid w:val="00AD558D"/>
    <w:rsid w:val="00AD57A0"/>
    <w:rsid w:val="00AD59A2"/>
    <w:rsid w:val="00AD5A7C"/>
    <w:rsid w:val="00AD5B72"/>
    <w:rsid w:val="00AD5D85"/>
    <w:rsid w:val="00AD5FD3"/>
    <w:rsid w:val="00AD6181"/>
    <w:rsid w:val="00AD693E"/>
    <w:rsid w:val="00AD6BC8"/>
    <w:rsid w:val="00AD6FDA"/>
    <w:rsid w:val="00AD7572"/>
    <w:rsid w:val="00AD790E"/>
    <w:rsid w:val="00AD7ACB"/>
    <w:rsid w:val="00AD7CA4"/>
    <w:rsid w:val="00AE03E5"/>
    <w:rsid w:val="00AE0F8B"/>
    <w:rsid w:val="00AE11BA"/>
    <w:rsid w:val="00AE1A10"/>
    <w:rsid w:val="00AE1C64"/>
    <w:rsid w:val="00AE1FC8"/>
    <w:rsid w:val="00AE23DA"/>
    <w:rsid w:val="00AE2662"/>
    <w:rsid w:val="00AE279B"/>
    <w:rsid w:val="00AE2B94"/>
    <w:rsid w:val="00AE2CD3"/>
    <w:rsid w:val="00AE2CEC"/>
    <w:rsid w:val="00AE2FB1"/>
    <w:rsid w:val="00AE375F"/>
    <w:rsid w:val="00AE3996"/>
    <w:rsid w:val="00AE3AD2"/>
    <w:rsid w:val="00AE3C9E"/>
    <w:rsid w:val="00AE3CCD"/>
    <w:rsid w:val="00AE3E51"/>
    <w:rsid w:val="00AE4506"/>
    <w:rsid w:val="00AE5129"/>
    <w:rsid w:val="00AE64AB"/>
    <w:rsid w:val="00AE6822"/>
    <w:rsid w:val="00AE6BC7"/>
    <w:rsid w:val="00AE6FBF"/>
    <w:rsid w:val="00AE6FCC"/>
    <w:rsid w:val="00AE7103"/>
    <w:rsid w:val="00AE7564"/>
    <w:rsid w:val="00AE799E"/>
    <w:rsid w:val="00AE7E13"/>
    <w:rsid w:val="00AF0401"/>
    <w:rsid w:val="00AF0E67"/>
    <w:rsid w:val="00AF0F33"/>
    <w:rsid w:val="00AF12B4"/>
    <w:rsid w:val="00AF1698"/>
    <w:rsid w:val="00AF199D"/>
    <w:rsid w:val="00AF2E3D"/>
    <w:rsid w:val="00AF36D6"/>
    <w:rsid w:val="00AF36DC"/>
    <w:rsid w:val="00AF38D6"/>
    <w:rsid w:val="00AF3936"/>
    <w:rsid w:val="00AF3AC5"/>
    <w:rsid w:val="00AF3B74"/>
    <w:rsid w:val="00AF3BA6"/>
    <w:rsid w:val="00AF40C7"/>
    <w:rsid w:val="00AF4BD1"/>
    <w:rsid w:val="00AF4CCC"/>
    <w:rsid w:val="00AF4ED0"/>
    <w:rsid w:val="00AF5195"/>
    <w:rsid w:val="00AF52CB"/>
    <w:rsid w:val="00AF589E"/>
    <w:rsid w:val="00AF5918"/>
    <w:rsid w:val="00AF5E05"/>
    <w:rsid w:val="00AF6196"/>
    <w:rsid w:val="00AF63C0"/>
    <w:rsid w:val="00AF6924"/>
    <w:rsid w:val="00AF6A6B"/>
    <w:rsid w:val="00AF6D74"/>
    <w:rsid w:val="00AF6E2C"/>
    <w:rsid w:val="00AF6F1D"/>
    <w:rsid w:val="00AF7117"/>
    <w:rsid w:val="00AF7AB4"/>
    <w:rsid w:val="00AF7EE7"/>
    <w:rsid w:val="00B00001"/>
    <w:rsid w:val="00B00296"/>
    <w:rsid w:val="00B00A79"/>
    <w:rsid w:val="00B00C67"/>
    <w:rsid w:val="00B0141E"/>
    <w:rsid w:val="00B01849"/>
    <w:rsid w:val="00B01916"/>
    <w:rsid w:val="00B0192E"/>
    <w:rsid w:val="00B01A0C"/>
    <w:rsid w:val="00B01FCE"/>
    <w:rsid w:val="00B021A7"/>
    <w:rsid w:val="00B026BB"/>
    <w:rsid w:val="00B028E1"/>
    <w:rsid w:val="00B02CC7"/>
    <w:rsid w:val="00B02D4B"/>
    <w:rsid w:val="00B0352B"/>
    <w:rsid w:val="00B03EE1"/>
    <w:rsid w:val="00B04893"/>
    <w:rsid w:val="00B049E1"/>
    <w:rsid w:val="00B04CA1"/>
    <w:rsid w:val="00B04E37"/>
    <w:rsid w:val="00B05C93"/>
    <w:rsid w:val="00B0628E"/>
    <w:rsid w:val="00B068E4"/>
    <w:rsid w:val="00B069FC"/>
    <w:rsid w:val="00B06DCA"/>
    <w:rsid w:val="00B06F56"/>
    <w:rsid w:val="00B070E4"/>
    <w:rsid w:val="00B076F8"/>
    <w:rsid w:val="00B0786E"/>
    <w:rsid w:val="00B07C17"/>
    <w:rsid w:val="00B07FEF"/>
    <w:rsid w:val="00B10475"/>
    <w:rsid w:val="00B108DD"/>
    <w:rsid w:val="00B10931"/>
    <w:rsid w:val="00B10A3A"/>
    <w:rsid w:val="00B10C57"/>
    <w:rsid w:val="00B10C6E"/>
    <w:rsid w:val="00B10FA1"/>
    <w:rsid w:val="00B11030"/>
    <w:rsid w:val="00B11115"/>
    <w:rsid w:val="00B11CD9"/>
    <w:rsid w:val="00B11E63"/>
    <w:rsid w:val="00B121B7"/>
    <w:rsid w:val="00B12CAA"/>
    <w:rsid w:val="00B13185"/>
    <w:rsid w:val="00B13404"/>
    <w:rsid w:val="00B1347B"/>
    <w:rsid w:val="00B137CA"/>
    <w:rsid w:val="00B1381D"/>
    <w:rsid w:val="00B13A6F"/>
    <w:rsid w:val="00B13AFB"/>
    <w:rsid w:val="00B13C27"/>
    <w:rsid w:val="00B14A76"/>
    <w:rsid w:val="00B15333"/>
    <w:rsid w:val="00B1597F"/>
    <w:rsid w:val="00B15C64"/>
    <w:rsid w:val="00B15CCB"/>
    <w:rsid w:val="00B15E1C"/>
    <w:rsid w:val="00B160FF"/>
    <w:rsid w:val="00B16458"/>
    <w:rsid w:val="00B16CA5"/>
    <w:rsid w:val="00B1743C"/>
    <w:rsid w:val="00B1787B"/>
    <w:rsid w:val="00B17A10"/>
    <w:rsid w:val="00B20912"/>
    <w:rsid w:val="00B20A12"/>
    <w:rsid w:val="00B210FF"/>
    <w:rsid w:val="00B211D7"/>
    <w:rsid w:val="00B212F2"/>
    <w:rsid w:val="00B21945"/>
    <w:rsid w:val="00B21998"/>
    <w:rsid w:val="00B21BB3"/>
    <w:rsid w:val="00B220FC"/>
    <w:rsid w:val="00B221F2"/>
    <w:rsid w:val="00B22C24"/>
    <w:rsid w:val="00B22E9D"/>
    <w:rsid w:val="00B2322A"/>
    <w:rsid w:val="00B2333A"/>
    <w:rsid w:val="00B233C0"/>
    <w:rsid w:val="00B2346A"/>
    <w:rsid w:val="00B23855"/>
    <w:rsid w:val="00B23A86"/>
    <w:rsid w:val="00B24027"/>
    <w:rsid w:val="00B242F4"/>
    <w:rsid w:val="00B248C1"/>
    <w:rsid w:val="00B24989"/>
    <w:rsid w:val="00B24F67"/>
    <w:rsid w:val="00B2505E"/>
    <w:rsid w:val="00B25412"/>
    <w:rsid w:val="00B26279"/>
    <w:rsid w:val="00B262FE"/>
    <w:rsid w:val="00B2726E"/>
    <w:rsid w:val="00B27314"/>
    <w:rsid w:val="00B2772C"/>
    <w:rsid w:val="00B27AF4"/>
    <w:rsid w:val="00B301E7"/>
    <w:rsid w:val="00B30380"/>
    <w:rsid w:val="00B304CB"/>
    <w:rsid w:val="00B309DD"/>
    <w:rsid w:val="00B30B15"/>
    <w:rsid w:val="00B31024"/>
    <w:rsid w:val="00B3122B"/>
    <w:rsid w:val="00B31BE3"/>
    <w:rsid w:val="00B3237D"/>
    <w:rsid w:val="00B323C1"/>
    <w:rsid w:val="00B33172"/>
    <w:rsid w:val="00B33248"/>
    <w:rsid w:val="00B3396F"/>
    <w:rsid w:val="00B33AF0"/>
    <w:rsid w:val="00B33C6D"/>
    <w:rsid w:val="00B33DD3"/>
    <w:rsid w:val="00B33EEC"/>
    <w:rsid w:val="00B34310"/>
    <w:rsid w:val="00B346C7"/>
    <w:rsid w:val="00B34B11"/>
    <w:rsid w:val="00B34F0B"/>
    <w:rsid w:val="00B35339"/>
    <w:rsid w:val="00B35742"/>
    <w:rsid w:val="00B35DE2"/>
    <w:rsid w:val="00B36224"/>
    <w:rsid w:val="00B363A3"/>
    <w:rsid w:val="00B3679A"/>
    <w:rsid w:val="00B369EF"/>
    <w:rsid w:val="00B36BFC"/>
    <w:rsid w:val="00B37060"/>
    <w:rsid w:val="00B37152"/>
    <w:rsid w:val="00B374E6"/>
    <w:rsid w:val="00B37730"/>
    <w:rsid w:val="00B377F8"/>
    <w:rsid w:val="00B37F0F"/>
    <w:rsid w:val="00B4013E"/>
    <w:rsid w:val="00B40195"/>
    <w:rsid w:val="00B41954"/>
    <w:rsid w:val="00B41C4D"/>
    <w:rsid w:val="00B41E22"/>
    <w:rsid w:val="00B41EF9"/>
    <w:rsid w:val="00B42039"/>
    <w:rsid w:val="00B4260D"/>
    <w:rsid w:val="00B42E16"/>
    <w:rsid w:val="00B430FD"/>
    <w:rsid w:val="00B43511"/>
    <w:rsid w:val="00B437B8"/>
    <w:rsid w:val="00B438B3"/>
    <w:rsid w:val="00B439A2"/>
    <w:rsid w:val="00B4409F"/>
    <w:rsid w:val="00B443E1"/>
    <w:rsid w:val="00B44434"/>
    <w:rsid w:val="00B44478"/>
    <w:rsid w:val="00B4486F"/>
    <w:rsid w:val="00B44E09"/>
    <w:rsid w:val="00B45333"/>
    <w:rsid w:val="00B453AC"/>
    <w:rsid w:val="00B457BE"/>
    <w:rsid w:val="00B459DF"/>
    <w:rsid w:val="00B45E2F"/>
    <w:rsid w:val="00B46375"/>
    <w:rsid w:val="00B46C24"/>
    <w:rsid w:val="00B46E96"/>
    <w:rsid w:val="00B46EBF"/>
    <w:rsid w:val="00B4708D"/>
    <w:rsid w:val="00B47135"/>
    <w:rsid w:val="00B47514"/>
    <w:rsid w:val="00B4767E"/>
    <w:rsid w:val="00B47868"/>
    <w:rsid w:val="00B479E4"/>
    <w:rsid w:val="00B505C7"/>
    <w:rsid w:val="00B50A0E"/>
    <w:rsid w:val="00B50DB0"/>
    <w:rsid w:val="00B51043"/>
    <w:rsid w:val="00B512F8"/>
    <w:rsid w:val="00B51459"/>
    <w:rsid w:val="00B51472"/>
    <w:rsid w:val="00B5157B"/>
    <w:rsid w:val="00B51712"/>
    <w:rsid w:val="00B51950"/>
    <w:rsid w:val="00B5212F"/>
    <w:rsid w:val="00B52700"/>
    <w:rsid w:val="00B52859"/>
    <w:rsid w:val="00B52D78"/>
    <w:rsid w:val="00B52DD8"/>
    <w:rsid w:val="00B536ED"/>
    <w:rsid w:val="00B5396B"/>
    <w:rsid w:val="00B53B73"/>
    <w:rsid w:val="00B53CD3"/>
    <w:rsid w:val="00B53EDE"/>
    <w:rsid w:val="00B53EFC"/>
    <w:rsid w:val="00B53F03"/>
    <w:rsid w:val="00B53F77"/>
    <w:rsid w:val="00B5457A"/>
    <w:rsid w:val="00B54598"/>
    <w:rsid w:val="00B54628"/>
    <w:rsid w:val="00B54661"/>
    <w:rsid w:val="00B5496F"/>
    <w:rsid w:val="00B54A5E"/>
    <w:rsid w:val="00B54D20"/>
    <w:rsid w:val="00B55008"/>
    <w:rsid w:val="00B5524E"/>
    <w:rsid w:val="00B5547B"/>
    <w:rsid w:val="00B55488"/>
    <w:rsid w:val="00B558F6"/>
    <w:rsid w:val="00B55994"/>
    <w:rsid w:val="00B56164"/>
    <w:rsid w:val="00B56177"/>
    <w:rsid w:val="00B5632B"/>
    <w:rsid w:val="00B5776D"/>
    <w:rsid w:val="00B5778F"/>
    <w:rsid w:val="00B6018C"/>
    <w:rsid w:val="00B601BE"/>
    <w:rsid w:val="00B601CB"/>
    <w:rsid w:val="00B60534"/>
    <w:rsid w:val="00B60C16"/>
    <w:rsid w:val="00B60D01"/>
    <w:rsid w:val="00B61590"/>
    <w:rsid w:val="00B616F1"/>
    <w:rsid w:val="00B62186"/>
    <w:rsid w:val="00B62206"/>
    <w:rsid w:val="00B62AC2"/>
    <w:rsid w:val="00B63083"/>
    <w:rsid w:val="00B632FD"/>
    <w:rsid w:val="00B63666"/>
    <w:rsid w:val="00B63DFB"/>
    <w:rsid w:val="00B646A9"/>
    <w:rsid w:val="00B64BD9"/>
    <w:rsid w:val="00B6534E"/>
    <w:rsid w:val="00B659CC"/>
    <w:rsid w:val="00B65AAC"/>
    <w:rsid w:val="00B6685B"/>
    <w:rsid w:val="00B668CE"/>
    <w:rsid w:val="00B66AFB"/>
    <w:rsid w:val="00B66B0E"/>
    <w:rsid w:val="00B66BC3"/>
    <w:rsid w:val="00B66E64"/>
    <w:rsid w:val="00B66F98"/>
    <w:rsid w:val="00B670DF"/>
    <w:rsid w:val="00B6793B"/>
    <w:rsid w:val="00B700C5"/>
    <w:rsid w:val="00B7019D"/>
    <w:rsid w:val="00B70722"/>
    <w:rsid w:val="00B708F9"/>
    <w:rsid w:val="00B70A0D"/>
    <w:rsid w:val="00B711A6"/>
    <w:rsid w:val="00B711D3"/>
    <w:rsid w:val="00B714FE"/>
    <w:rsid w:val="00B7161C"/>
    <w:rsid w:val="00B71DAC"/>
    <w:rsid w:val="00B72326"/>
    <w:rsid w:val="00B72889"/>
    <w:rsid w:val="00B73070"/>
    <w:rsid w:val="00B73B50"/>
    <w:rsid w:val="00B73CFD"/>
    <w:rsid w:val="00B741D3"/>
    <w:rsid w:val="00B7436C"/>
    <w:rsid w:val="00B7475C"/>
    <w:rsid w:val="00B7477F"/>
    <w:rsid w:val="00B752BE"/>
    <w:rsid w:val="00B753D1"/>
    <w:rsid w:val="00B7545F"/>
    <w:rsid w:val="00B7555A"/>
    <w:rsid w:val="00B75C98"/>
    <w:rsid w:val="00B75DDE"/>
    <w:rsid w:val="00B75DE1"/>
    <w:rsid w:val="00B760D4"/>
    <w:rsid w:val="00B763E0"/>
    <w:rsid w:val="00B767E6"/>
    <w:rsid w:val="00B768B4"/>
    <w:rsid w:val="00B76B97"/>
    <w:rsid w:val="00B77135"/>
    <w:rsid w:val="00B7722A"/>
    <w:rsid w:val="00B773FE"/>
    <w:rsid w:val="00B7761D"/>
    <w:rsid w:val="00B77ACD"/>
    <w:rsid w:val="00B77E96"/>
    <w:rsid w:val="00B80180"/>
    <w:rsid w:val="00B804E5"/>
    <w:rsid w:val="00B80506"/>
    <w:rsid w:val="00B81381"/>
    <w:rsid w:val="00B8180F"/>
    <w:rsid w:val="00B82673"/>
    <w:rsid w:val="00B8289F"/>
    <w:rsid w:val="00B82C85"/>
    <w:rsid w:val="00B836B6"/>
    <w:rsid w:val="00B839F9"/>
    <w:rsid w:val="00B83CD8"/>
    <w:rsid w:val="00B84C8B"/>
    <w:rsid w:val="00B854CC"/>
    <w:rsid w:val="00B85C8E"/>
    <w:rsid w:val="00B85D29"/>
    <w:rsid w:val="00B85FD7"/>
    <w:rsid w:val="00B860E1"/>
    <w:rsid w:val="00B872D2"/>
    <w:rsid w:val="00B874ED"/>
    <w:rsid w:val="00B87EAC"/>
    <w:rsid w:val="00B900C4"/>
    <w:rsid w:val="00B9045F"/>
    <w:rsid w:val="00B90485"/>
    <w:rsid w:val="00B90487"/>
    <w:rsid w:val="00B90858"/>
    <w:rsid w:val="00B909BC"/>
    <w:rsid w:val="00B90DB8"/>
    <w:rsid w:val="00B90EDF"/>
    <w:rsid w:val="00B91B4B"/>
    <w:rsid w:val="00B91C69"/>
    <w:rsid w:val="00B91F37"/>
    <w:rsid w:val="00B922AB"/>
    <w:rsid w:val="00B922C7"/>
    <w:rsid w:val="00B925E0"/>
    <w:rsid w:val="00B92B63"/>
    <w:rsid w:val="00B92DC7"/>
    <w:rsid w:val="00B933F5"/>
    <w:rsid w:val="00B93CF3"/>
    <w:rsid w:val="00B94421"/>
    <w:rsid w:val="00B95782"/>
    <w:rsid w:val="00B964A6"/>
    <w:rsid w:val="00B9669F"/>
    <w:rsid w:val="00B96FC9"/>
    <w:rsid w:val="00B97CF1"/>
    <w:rsid w:val="00B97D17"/>
    <w:rsid w:val="00BA033B"/>
    <w:rsid w:val="00BA0750"/>
    <w:rsid w:val="00BA08DA"/>
    <w:rsid w:val="00BA0B60"/>
    <w:rsid w:val="00BA0E64"/>
    <w:rsid w:val="00BA101E"/>
    <w:rsid w:val="00BA1564"/>
    <w:rsid w:val="00BA1626"/>
    <w:rsid w:val="00BA1873"/>
    <w:rsid w:val="00BA360B"/>
    <w:rsid w:val="00BA385F"/>
    <w:rsid w:val="00BA404A"/>
    <w:rsid w:val="00BA425C"/>
    <w:rsid w:val="00BA4282"/>
    <w:rsid w:val="00BA42F0"/>
    <w:rsid w:val="00BA43A9"/>
    <w:rsid w:val="00BA46A8"/>
    <w:rsid w:val="00BA4882"/>
    <w:rsid w:val="00BA4B65"/>
    <w:rsid w:val="00BA4BC3"/>
    <w:rsid w:val="00BA4CA0"/>
    <w:rsid w:val="00BA4DFF"/>
    <w:rsid w:val="00BA4E97"/>
    <w:rsid w:val="00BA4EBC"/>
    <w:rsid w:val="00BA5054"/>
    <w:rsid w:val="00BA523A"/>
    <w:rsid w:val="00BA62A0"/>
    <w:rsid w:val="00BA654A"/>
    <w:rsid w:val="00BA668F"/>
    <w:rsid w:val="00BA66D8"/>
    <w:rsid w:val="00BA67B0"/>
    <w:rsid w:val="00BA70A6"/>
    <w:rsid w:val="00BA7147"/>
    <w:rsid w:val="00BA7541"/>
    <w:rsid w:val="00BA7721"/>
    <w:rsid w:val="00BA7E42"/>
    <w:rsid w:val="00BB03FF"/>
    <w:rsid w:val="00BB07E6"/>
    <w:rsid w:val="00BB10A4"/>
    <w:rsid w:val="00BB19ED"/>
    <w:rsid w:val="00BB1A31"/>
    <w:rsid w:val="00BB1B83"/>
    <w:rsid w:val="00BB1DAF"/>
    <w:rsid w:val="00BB1DBB"/>
    <w:rsid w:val="00BB2532"/>
    <w:rsid w:val="00BB258D"/>
    <w:rsid w:val="00BB2716"/>
    <w:rsid w:val="00BB2718"/>
    <w:rsid w:val="00BB3805"/>
    <w:rsid w:val="00BB389C"/>
    <w:rsid w:val="00BB39DC"/>
    <w:rsid w:val="00BB4458"/>
    <w:rsid w:val="00BB469F"/>
    <w:rsid w:val="00BB4A4E"/>
    <w:rsid w:val="00BB4F9C"/>
    <w:rsid w:val="00BB543E"/>
    <w:rsid w:val="00BB5CE8"/>
    <w:rsid w:val="00BB5FBA"/>
    <w:rsid w:val="00BB64DE"/>
    <w:rsid w:val="00BB67C6"/>
    <w:rsid w:val="00BB695C"/>
    <w:rsid w:val="00BB6A86"/>
    <w:rsid w:val="00BB6A99"/>
    <w:rsid w:val="00BB7282"/>
    <w:rsid w:val="00BB72C7"/>
    <w:rsid w:val="00BB793B"/>
    <w:rsid w:val="00BB79E7"/>
    <w:rsid w:val="00BB7EE5"/>
    <w:rsid w:val="00BC0640"/>
    <w:rsid w:val="00BC0BF5"/>
    <w:rsid w:val="00BC143E"/>
    <w:rsid w:val="00BC1597"/>
    <w:rsid w:val="00BC18EF"/>
    <w:rsid w:val="00BC23B4"/>
    <w:rsid w:val="00BC2A8F"/>
    <w:rsid w:val="00BC2CEE"/>
    <w:rsid w:val="00BC2EB5"/>
    <w:rsid w:val="00BC3DF3"/>
    <w:rsid w:val="00BC3E70"/>
    <w:rsid w:val="00BC3F0D"/>
    <w:rsid w:val="00BC3FA8"/>
    <w:rsid w:val="00BC478F"/>
    <w:rsid w:val="00BC4875"/>
    <w:rsid w:val="00BC4994"/>
    <w:rsid w:val="00BC4ECA"/>
    <w:rsid w:val="00BC52B1"/>
    <w:rsid w:val="00BC554B"/>
    <w:rsid w:val="00BC5807"/>
    <w:rsid w:val="00BC5842"/>
    <w:rsid w:val="00BC5C12"/>
    <w:rsid w:val="00BC61D0"/>
    <w:rsid w:val="00BC628E"/>
    <w:rsid w:val="00BC6542"/>
    <w:rsid w:val="00BC6A99"/>
    <w:rsid w:val="00BC6B76"/>
    <w:rsid w:val="00BC795D"/>
    <w:rsid w:val="00BC7983"/>
    <w:rsid w:val="00BD0499"/>
    <w:rsid w:val="00BD0568"/>
    <w:rsid w:val="00BD064C"/>
    <w:rsid w:val="00BD078F"/>
    <w:rsid w:val="00BD0866"/>
    <w:rsid w:val="00BD0E49"/>
    <w:rsid w:val="00BD158E"/>
    <w:rsid w:val="00BD19C5"/>
    <w:rsid w:val="00BD1FBD"/>
    <w:rsid w:val="00BD2DC8"/>
    <w:rsid w:val="00BD2FF0"/>
    <w:rsid w:val="00BD3181"/>
    <w:rsid w:val="00BD3FD8"/>
    <w:rsid w:val="00BD499E"/>
    <w:rsid w:val="00BD4A6A"/>
    <w:rsid w:val="00BD4B6F"/>
    <w:rsid w:val="00BD4BA1"/>
    <w:rsid w:val="00BD4C1A"/>
    <w:rsid w:val="00BD4F10"/>
    <w:rsid w:val="00BD5604"/>
    <w:rsid w:val="00BD568B"/>
    <w:rsid w:val="00BD60E7"/>
    <w:rsid w:val="00BD6134"/>
    <w:rsid w:val="00BD644C"/>
    <w:rsid w:val="00BD65DA"/>
    <w:rsid w:val="00BD6764"/>
    <w:rsid w:val="00BD6783"/>
    <w:rsid w:val="00BD6A51"/>
    <w:rsid w:val="00BD6BBE"/>
    <w:rsid w:val="00BD6C4A"/>
    <w:rsid w:val="00BD6F9F"/>
    <w:rsid w:val="00BD73DD"/>
    <w:rsid w:val="00BD7841"/>
    <w:rsid w:val="00BD7B5D"/>
    <w:rsid w:val="00BE08B9"/>
    <w:rsid w:val="00BE0DD6"/>
    <w:rsid w:val="00BE0EB8"/>
    <w:rsid w:val="00BE11B5"/>
    <w:rsid w:val="00BE17B0"/>
    <w:rsid w:val="00BE2A09"/>
    <w:rsid w:val="00BE306A"/>
    <w:rsid w:val="00BE3074"/>
    <w:rsid w:val="00BE319F"/>
    <w:rsid w:val="00BE3382"/>
    <w:rsid w:val="00BE3432"/>
    <w:rsid w:val="00BE3447"/>
    <w:rsid w:val="00BE4424"/>
    <w:rsid w:val="00BE4A0B"/>
    <w:rsid w:val="00BE5489"/>
    <w:rsid w:val="00BE57AB"/>
    <w:rsid w:val="00BE5D90"/>
    <w:rsid w:val="00BE5F02"/>
    <w:rsid w:val="00BE639D"/>
    <w:rsid w:val="00BE6968"/>
    <w:rsid w:val="00BE6A96"/>
    <w:rsid w:val="00BE7182"/>
    <w:rsid w:val="00BE7274"/>
    <w:rsid w:val="00BE76CB"/>
    <w:rsid w:val="00BE7773"/>
    <w:rsid w:val="00BE7A12"/>
    <w:rsid w:val="00BE7B46"/>
    <w:rsid w:val="00BE7E29"/>
    <w:rsid w:val="00BF064A"/>
    <w:rsid w:val="00BF0AB2"/>
    <w:rsid w:val="00BF0BD4"/>
    <w:rsid w:val="00BF0C76"/>
    <w:rsid w:val="00BF105F"/>
    <w:rsid w:val="00BF196E"/>
    <w:rsid w:val="00BF1C8E"/>
    <w:rsid w:val="00BF2008"/>
    <w:rsid w:val="00BF2370"/>
    <w:rsid w:val="00BF24D0"/>
    <w:rsid w:val="00BF27D6"/>
    <w:rsid w:val="00BF338D"/>
    <w:rsid w:val="00BF3484"/>
    <w:rsid w:val="00BF358B"/>
    <w:rsid w:val="00BF35A1"/>
    <w:rsid w:val="00BF3DC4"/>
    <w:rsid w:val="00BF3F87"/>
    <w:rsid w:val="00BF4080"/>
    <w:rsid w:val="00BF48CF"/>
    <w:rsid w:val="00BF493C"/>
    <w:rsid w:val="00BF4D6D"/>
    <w:rsid w:val="00BF50DE"/>
    <w:rsid w:val="00BF535D"/>
    <w:rsid w:val="00BF5C5E"/>
    <w:rsid w:val="00BF5CA2"/>
    <w:rsid w:val="00BF5CCE"/>
    <w:rsid w:val="00BF611F"/>
    <w:rsid w:val="00BF6378"/>
    <w:rsid w:val="00BF640D"/>
    <w:rsid w:val="00BF6620"/>
    <w:rsid w:val="00BF6951"/>
    <w:rsid w:val="00BF6FBC"/>
    <w:rsid w:val="00BF7249"/>
    <w:rsid w:val="00BF7469"/>
    <w:rsid w:val="00BF77A4"/>
    <w:rsid w:val="00C00296"/>
    <w:rsid w:val="00C0101B"/>
    <w:rsid w:val="00C015E9"/>
    <w:rsid w:val="00C019F9"/>
    <w:rsid w:val="00C01E1F"/>
    <w:rsid w:val="00C02255"/>
    <w:rsid w:val="00C02523"/>
    <w:rsid w:val="00C03577"/>
    <w:rsid w:val="00C04728"/>
    <w:rsid w:val="00C048AF"/>
    <w:rsid w:val="00C0550E"/>
    <w:rsid w:val="00C05F1E"/>
    <w:rsid w:val="00C06E19"/>
    <w:rsid w:val="00C073B8"/>
    <w:rsid w:val="00C0784E"/>
    <w:rsid w:val="00C100CC"/>
    <w:rsid w:val="00C10102"/>
    <w:rsid w:val="00C1043E"/>
    <w:rsid w:val="00C105C6"/>
    <w:rsid w:val="00C108B4"/>
    <w:rsid w:val="00C10A1F"/>
    <w:rsid w:val="00C11318"/>
    <w:rsid w:val="00C1163C"/>
    <w:rsid w:val="00C117DE"/>
    <w:rsid w:val="00C11B19"/>
    <w:rsid w:val="00C121AF"/>
    <w:rsid w:val="00C123E9"/>
    <w:rsid w:val="00C12B34"/>
    <w:rsid w:val="00C135A3"/>
    <w:rsid w:val="00C136EF"/>
    <w:rsid w:val="00C139D6"/>
    <w:rsid w:val="00C13A34"/>
    <w:rsid w:val="00C13C54"/>
    <w:rsid w:val="00C13FA4"/>
    <w:rsid w:val="00C1425B"/>
    <w:rsid w:val="00C144B7"/>
    <w:rsid w:val="00C14A99"/>
    <w:rsid w:val="00C14F71"/>
    <w:rsid w:val="00C15B95"/>
    <w:rsid w:val="00C15EF2"/>
    <w:rsid w:val="00C162D2"/>
    <w:rsid w:val="00C1678B"/>
    <w:rsid w:val="00C16B91"/>
    <w:rsid w:val="00C170BB"/>
    <w:rsid w:val="00C17127"/>
    <w:rsid w:val="00C1717A"/>
    <w:rsid w:val="00C17343"/>
    <w:rsid w:val="00C17E13"/>
    <w:rsid w:val="00C20C84"/>
    <w:rsid w:val="00C20F2D"/>
    <w:rsid w:val="00C21196"/>
    <w:rsid w:val="00C214DD"/>
    <w:rsid w:val="00C2183D"/>
    <w:rsid w:val="00C2224A"/>
    <w:rsid w:val="00C22678"/>
    <w:rsid w:val="00C22AC9"/>
    <w:rsid w:val="00C23129"/>
    <w:rsid w:val="00C23425"/>
    <w:rsid w:val="00C2362E"/>
    <w:rsid w:val="00C2379D"/>
    <w:rsid w:val="00C23992"/>
    <w:rsid w:val="00C23BE6"/>
    <w:rsid w:val="00C243E2"/>
    <w:rsid w:val="00C24477"/>
    <w:rsid w:val="00C245A7"/>
    <w:rsid w:val="00C2548F"/>
    <w:rsid w:val="00C259CD"/>
    <w:rsid w:val="00C25E0B"/>
    <w:rsid w:val="00C26313"/>
    <w:rsid w:val="00C266FF"/>
    <w:rsid w:val="00C26DAA"/>
    <w:rsid w:val="00C27202"/>
    <w:rsid w:val="00C27886"/>
    <w:rsid w:val="00C30B89"/>
    <w:rsid w:val="00C30C19"/>
    <w:rsid w:val="00C31227"/>
    <w:rsid w:val="00C31632"/>
    <w:rsid w:val="00C32032"/>
    <w:rsid w:val="00C32D68"/>
    <w:rsid w:val="00C33803"/>
    <w:rsid w:val="00C3426E"/>
    <w:rsid w:val="00C34483"/>
    <w:rsid w:val="00C3465E"/>
    <w:rsid w:val="00C34F3D"/>
    <w:rsid w:val="00C353EA"/>
    <w:rsid w:val="00C354FB"/>
    <w:rsid w:val="00C3563C"/>
    <w:rsid w:val="00C35844"/>
    <w:rsid w:val="00C35A11"/>
    <w:rsid w:val="00C35A43"/>
    <w:rsid w:val="00C35A99"/>
    <w:rsid w:val="00C35CA2"/>
    <w:rsid w:val="00C35CF5"/>
    <w:rsid w:val="00C35D62"/>
    <w:rsid w:val="00C36047"/>
    <w:rsid w:val="00C361B3"/>
    <w:rsid w:val="00C37238"/>
    <w:rsid w:val="00C37432"/>
    <w:rsid w:val="00C3747F"/>
    <w:rsid w:val="00C37640"/>
    <w:rsid w:val="00C37679"/>
    <w:rsid w:val="00C37723"/>
    <w:rsid w:val="00C37C02"/>
    <w:rsid w:val="00C40145"/>
    <w:rsid w:val="00C4024E"/>
    <w:rsid w:val="00C40323"/>
    <w:rsid w:val="00C4078D"/>
    <w:rsid w:val="00C40A04"/>
    <w:rsid w:val="00C40A9F"/>
    <w:rsid w:val="00C40B04"/>
    <w:rsid w:val="00C40B4A"/>
    <w:rsid w:val="00C40D2F"/>
    <w:rsid w:val="00C415FE"/>
    <w:rsid w:val="00C41AF4"/>
    <w:rsid w:val="00C41C15"/>
    <w:rsid w:val="00C41E12"/>
    <w:rsid w:val="00C42134"/>
    <w:rsid w:val="00C42161"/>
    <w:rsid w:val="00C4237A"/>
    <w:rsid w:val="00C423FD"/>
    <w:rsid w:val="00C4274A"/>
    <w:rsid w:val="00C42A60"/>
    <w:rsid w:val="00C42FB8"/>
    <w:rsid w:val="00C433E6"/>
    <w:rsid w:val="00C43AEC"/>
    <w:rsid w:val="00C43BF4"/>
    <w:rsid w:val="00C43EDD"/>
    <w:rsid w:val="00C43F22"/>
    <w:rsid w:val="00C4407D"/>
    <w:rsid w:val="00C44182"/>
    <w:rsid w:val="00C44260"/>
    <w:rsid w:val="00C44B53"/>
    <w:rsid w:val="00C44D62"/>
    <w:rsid w:val="00C44E30"/>
    <w:rsid w:val="00C44ECE"/>
    <w:rsid w:val="00C44EE2"/>
    <w:rsid w:val="00C454DC"/>
    <w:rsid w:val="00C45D06"/>
    <w:rsid w:val="00C45F18"/>
    <w:rsid w:val="00C46146"/>
    <w:rsid w:val="00C46647"/>
    <w:rsid w:val="00C466DB"/>
    <w:rsid w:val="00C4695F"/>
    <w:rsid w:val="00C46D14"/>
    <w:rsid w:val="00C46F6E"/>
    <w:rsid w:val="00C47EEB"/>
    <w:rsid w:val="00C47EF3"/>
    <w:rsid w:val="00C47F91"/>
    <w:rsid w:val="00C47FE8"/>
    <w:rsid w:val="00C506DA"/>
    <w:rsid w:val="00C50820"/>
    <w:rsid w:val="00C5286E"/>
    <w:rsid w:val="00C52FD2"/>
    <w:rsid w:val="00C530EB"/>
    <w:rsid w:val="00C5315A"/>
    <w:rsid w:val="00C53300"/>
    <w:rsid w:val="00C5379D"/>
    <w:rsid w:val="00C53BFE"/>
    <w:rsid w:val="00C53DD3"/>
    <w:rsid w:val="00C5436D"/>
    <w:rsid w:val="00C5455E"/>
    <w:rsid w:val="00C545F6"/>
    <w:rsid w:val="00C54827"/>
    <w:rsid w:val="00C54EB4"/>
    <w:rsid w:val="00C5509F"/>
    <w:rsid w:val="00C5639C"/>
    <w:rsid w:val="00C56C10"/>
    <w:rsid w:val="00C56D71"/>
    <w:rsid w:val="00C56E53"/>
    <w:rsid w:val="00C57072"/>
    <w:rsid w:val="00C57337"/>
    <w:rsid w:val="00C57600"/>
    <w:rsid w:val="00C57706"/>
    <w:rsid w:val="00C57C88"/>
    <w:rsid w:val="00C57FE8"/>
    <w:rsid w:val="00C601EA"/>
    <w:rsid w:val="00C60318"/>
    <w:rsid w:val="00C60327"/>
    <w:rsid w:val="00C60537"/>
    <w:rsid w:val="00C61154"/>
    <w:rsid w:val="00C614CD"/>
    <w:rsid w:val="00C615A7"/>
    <w:rsid w:val="00C6325A"/>
    <w:rsid w:val="00C632F7"/>
    <w:rsid w:val="00C63B5F"/>
    <w:rsid w:val="00C63F44"/>
    <w:rsid w:val="00C63FF3"/>
    <w:rsid w:val="00C64614"/>
    <w:rsid w:val="00C647E6"/>
    <w:rsid w:val="00C64E72"/>
    <w:rsid w:val="00C6500A"/>
    <w:rsid w:val="00C65765"/>
    <w:rsid w:val="00C65824"/>
    <w:rsid w:val="00C65BEF"/>
    <w:rsid w:val="00C6606D"/>
    <w:rsid w:val="00C66113"/>
    <w:rsid w:val="00C6634B"/>
    <w:rsid w:val="00C664F4"/>
    <w:rsid w:val="00C666A9"/>
    <w:rsid w:val="00C66D77"/>
    <w:rsid w:val="00C67379"/>
    <w:rsid w:val="00C6741A"/>
    <w:rsid w:val="00C7092B"/>
    <w:rsid w:val="00C7147C"/>
    <w:rsid w:val="00C719B9"/>
    <w:rsid w:val="00C71B83"/>
    <w:rsid w:val="00C72256"/>
    <w:rsid w:val="00C72438"/>
    <w:rsid w:val="00C726C0"/>
    <w:rsid w:val="00C72873"/>
    <w:rsid w:val="00C7288E"/>
    <w:rsid w:val="00C72B9E"/>
    <w:rsid w:val="00C7300D"/>
    <w:rsid w:val="00C733EE"/>
    <w:rsid w:val="00C73816"/>
    <w:rsid w:val="00C7385C"/>
    <w:rsid w:val="00C73FC8"/>
    <w:rsid w:val="00C742C6"/>
    <w:rsid w:val="00C74348"/>
    <w:rsid w:val="00C74442"/>
    <w:rsid w:val="00C74C74"/>
    <w:rsid w:val="00C74ED2"/>
    <w:rsid w:val="00C756C9"/>
    <w:rsid w:val="00C765F7"/>
    <w:rsid w:val="00C7672C"/>
    <w:rsid w:val="00C76CA2"/>
    <w:rsid w:val="00C77544"/>
    <w:rsid w:val="00C77902"/>
    <w:rsid w:val="00C77A7D"/>
    <w:rsid w:val="00C77F77"/>
    <w:rsid w:val="00C802FA"/>
    <w:rsid w:val="00C806C8"/>
    <w:rsid w:val="00C8098D"/>
    <w:rsid w:val="00C80F1F"/>
    <w:rsid w:val="00C81669"/>
    <w:rsid w:val="00C81732"/>
    <w:rsid w:val="00C819AC"/>
    <w:rsid w:val="00C81A2A"/>
    <w:rsid w:val="00C81B3A"/>
    <w:rsid w:val="00C82296"/>
    <w:rsid w:val="00C82D05"/>
    <w:rsid w:val="00C82E16"/>
    <w:rsid w:val="00C83011"/>
    <w:rsid w:val="00C83272"/>
    <w:rsid w:val="00C83B4E"/>
    <w:rsid w:val="00C83BE1"/>
    <w:rsid w:val="00C83C79"/>
    <w:rsid w:val="00C84033"/>
    <w:rsid w:val="00C84116"/>
    <w:rsid w:val="00C8457D"/>
    <w:rsid w:val="00C84846"/>
    <w:rsid w:val="00C84A54"/>
    <w:rsid w:val="00C84E06"/>
    <w:rsid w:val="00C85471"/>
    <w:rsid w:val="00C8554C"/>
    <w:rsid w:val="00C85A77"/>
    <w:rsid w:val="00C85E81"/>
    <w:rsid w:val="00C85F72"/>
    <w:rsid w:val="00C86074"/>
    <w:rsid w:val="00C867F5"/>
    <w:rsid w:val="00C869DC"/>
    <w:rsid w:val="00C86A33"/>
    <w:rsid w:val="00C9038D"/>
    <w:rsid w:val="00C903D4"/>
    <w:rsid w:val="00C9053E"/>
    <w:rsid w:val="00C90608"/>
    <w:rsid w:val="00C90C0F"/>
    <w:rsid w:val="00C90FED"/>
    <w:rsid w:val="00C9113E"/>
    <w:rsid w:val="00C91CF9"/>
    <w:rsid w:val="00C92225"/>
    <w:rsid w:val="00C9292F"/>
    <w:rsid w:val="00C93287"/>
    <w:rsid w:val="00C937A6"/>
    <w:rsid w:val="00C939FF"/>
    <w:rsid w:val="00C94828"/>
    <w:rsid w:val="00C94CF8"/>
    <w:rsid w:val="00C955F6"/>
    <w:rsid w:val="00C95F59"/>
    <w:rsid w:val="00C96305"/>
    <w:rsid w:val="00C967C1"/>
    <w:rsid w:val="00C967C9"/>
    <w:rsid w:val="00C967D5"/>
    <w:rsid w:val="00C96844"/>
    <w:rsid w:val="00C969F2"/>
    <w:rsid w:val="00C96C9E"/>
    <w:rsid w:val="00C96CFB"/>
    <w:rsid w:val="00C96DB7"/>
    <w:rsid w:val="00C97000"/>
    <w:rsid w:val="00C9726E"/>
    <w:rsid w:val="00C97415"/>
    <w:rsid w:val="00C97534"/>
    <w:rsid w:val="00C97729"/>
    <w:rsid w:val="00C97828"/>
    <w:rsid w:val="00C97A1C"/>
    <w:rsid w:val="00C97D66"/>
    <w:rsid w:val="00C97FFD"/>
    <w:rsid w:val="00CA000B"/>
    <w:rsid w:val="00CA0199"/>
    <w:rsid w:val="00CA09AB"/>
    <w:rsid w:val="00CA0ACE"/>
    <w:rsid w:val="00CA0DA2"/>
    <w:rsid w:val="00CA12A9"/>
    <w:rsid w:val="00CA1313"/>
    <w:rsid w:val="00CA1AD6"/>
    <w:rsid w:val="00CA2024"/>
    <w:rsid w:val="00CA2627"/>
    <w:rsid w:val="00CA3300"/>
    <w:rsid w:val="00CA34B9"/>
    <w:rsid w:val="00CA4504"/>
    <w:rsid w:val="00CA45AE"/>
    <w:rsid w:val="00CA45C4"/>
    <w:rsid w:val="00CA4716"/>
    <w:rsid w:val="00CA4959"/>
    <w:rsid w:val="00CA4DE6"/>
    <w:rsid w:val="00CA5344"/>
    <w:rsid w:val="00CA5933"/>
    <w:rsid w:val="00CA5A91"/>
    <w:rsid w:val="00CA5C08"/>
    <w:rsid w:val="00CA61D5"/>
    <w:rsid w:val="00CA6785"/>
    <w:rsid w:val="00CA6ED6"/>
    <w:rsid w:val="00CA7600"/>
    <w:rsid w:val="00CA7AB1"/>
    <w:rsid w:val="00CA7E36"/>
    <w:rsid w:val="00CB0B69"/>
    <w:rsid w:val="00CB0E75"/>
    <w:rsid w:val="00CB1167"/>
    <w:rsid w:val="00CB12B1"/>
    <w:rsid w:val="00CB18EE"/>
    <w:rsid w:val="00CB18FA"/>
    <w:rsid w:val="00CB1E6F"/>
    <w:rsid w:val="00CB247E"/>
    <w:rsid w:val="00CB24C9"/>
    <w:rsid w:val="00CB2676"/>
    <w:rsid w:val="00CB2B7B"/>
    <w:rsid w:val="00CB380B"/>
    <w:rsid w:val="00CB3BFA"/>
    <w:rsid w:val="00CB3D26"/>
    <w:rsid w:val="00CB3EE7"/>
    <w:rsid w:val="00CB4269"/>
    <w:rsid w:val="00CB434E"/>
    <w:rsid w:val="00CB45A4"/>
    <w:rsid w:val="00CB4B08"/>
    <w:rsid w:val="00CB5006"/>
    <w:rsid w:val="00CB5270"/>
    <w:rsid w:val="00CB57E2"/>
    <w:rsid w:val="00CB5833"/>
    <w:rsid w:val="00CB590C"/>
    <w:rsid w:val="00CB5D4E"/>
    <w:rsid w:val="00CB638B"/>
    <w:rsid w:val="00CB6C56"/>
    <w:rsid w:val="00CB752C"/>
    <w:rsid w:val="00CB7D8C"/>
    <w:rsid w:val="00CC03AD"/>
    <w:rsid w:val="00CC0BC9"/>
    <w:rsid w:val="00CC0BFC"/>
    <w:rsid w:val="00CC0E20"/>
    <w:rsid w:val="00CC1723"/>
    <w:rsid w:val="00CC174C"/>
    <w:rsid w:val="00CC1EA6"/>
    <w:rsid w:val="00CC2E41"/>
    <w:rsid w:val="00CC3508"/>
    <w:rsid w:val="00CC3547"/>
    <w:rsid w:val="00CC37F7"/>
    <w:rsid w:val="00CC38E6"/>
    <w:rsid w:val="00CC3A1C"/>
    <w:rsid w:val="00CC4692"/>
    <w:rsid w:val="00CC48FE"/>
    <w:rsid w:val="00CC4E36"/>
    <w:rsid w:val="00CC5374"/>
    <w:rsid w:val="00CC53B7"/>
    <w:rsid w:val="00CC574E"/>
    <w:rsid w:val="00CC5A47"/>
    <w:rsid w:val="00CC5B3D"/>
    <w:rsid w:val="00CC5E48"/>
    <w:rsid w:val="00CC6344"/>
    <w:rsid w:val="00CC6465"/>
    <w:rsid w:val="00CC6850"/>
    <w:rsid w:val="00CC691C"/>
    <w:rsid w:val="00CC6CE8"/>
    <w:rsid w:val="00CC6FF1"/>
    <w:rsid w:val="00CC7546"/>
    <w:rsid w:val="00CD0686"/>
    <w:rsid w:val="00CD06C5"/>
    <w:rsid w:val="00CD0F8E"/>
    <w:rsid w:val="00CD109A"/>
    <w:rsid w:val="00CD1D77"/>
    <w:rsid w:val="00CD2604"/>
    <w:rsid w:val="00CD2916"/>
    <w:rsid w:val="00CD297D"/>
    <w:rsid w:val="00CD2F5A"/>
    <w:rsid w:val="00CD389C"/>
    <w:rsid w:val="00CD3BC3"/>
    <w:rsid w:val="00CD3BC4"/>
    <w:rsid w:val="00CD3CC2"/>
    <w:rsid w:val="00CD3D79"/>
    <w:rsid w:val="00CD3FC9"/>
    <w:rsid w:val="00CD4258"/>
    <w:rsid w:val="00CD439C"/>
    <w:rsid w:val="00CD472C"/>
    <w:rsid w:val="00CD4D03"/>
    <w:rsid w:val="00CD4F71"/>
    <w:rsid w:val="00CD5235"/>
    <w:rsid w:val="00CD587E"/>
    <w:rsid w:val="00CD5FA3"/>
    <w:rsid w:val="00CD60E0"/>
    <w:rsid w:val="00CD60ED"/>
    <w:rsid w:val="00CD6286"/>
    <w:rsid w:val="00CD62A2"/>
    <w:rsid w:val="00CD665D"/>
    <w:rsid w:val="00CD6A9F"/>
    <w:rsid w:val="00CD6C2C"/>
    <w:rsid w:val="00CD77B5"/>
    <w:rsid w:val="00CD79F8"/>
    <w:rsid w:val="00CE07E4"/>
    <w:rsid w:val="00CE1510"/>
    <w:rsid w:val="00CE20D2"/>
    <w:rsid w:val="00CE213B"/>
    <w:rsid w:val="00CE2EB2"/>
    <w:rsid w:val="00CE302C"/>
    <w:rsid w:val="00CE371D"/>
    <w:rsid w:val="00CE39CA"/>
    <w:rsid w:val="00CE3BCB"/>
    <w:rsid w:val="00CE424C"/>
    <w:rsid w:val="00CE4497"/>
    <w:rsid w:val="00CE4F79"/>
    <w:rsid w:val="00CE4FF4"/>
    <w:rsid w:val="00CE5474"/>
    <w:rsid w:val="00CE579E"/>
    <w:rsid w:val="00CE5C55"/>
    <w:rsid w:val="00CE6754"/>
    <w:rsid w:val="00CE79E2"/>
    <w:rsid w:val="00CE7C59"/>
    <w:rsid w:val="00CE7EEA"/>
    <w:rsid w:val="00CF0039"/>
    <w:rsid w:val="00CF0AE4"/>
    <w:rsid w:val="00CF0B83"/>
    <w:rsid w:val="00CF0D3C"/>
    <w:rsid w:val="00CF10CF"/>
    <w:rsid w:val="00CF1B78"/>
    <w:rsid w:val="00CF1C7A"/>
    <w:rsid w:val="00CF2026"/>
    <w:rsid w:val="00CF23BC"/>
    <w:rsid w:val="00CF29C2"/>
    <w:rsid w:val="00CF29E5"/>
    <w:rsid w:val="00CF2FCB"/>
    <w:rsid w:val="00CF316E"/>
    <w:rsid w:val="00CF3282"/>
    <w:rsid w:val="00CF337D"/>
    <w:rsid w:val="00CF3840"/>
    <w:rsid w:val="00CF4674"/>
    <w:rsid w:val="00CF4824"/>
    <w:rsid w:val="00CF4C07"/>
    <w:rsid w:val="00CF4CC5"/>
    <w:rsid w:val="00CF51AB"/>
    <w:rsid w:val="00CF51B1"/>
    <w:rsid w:val="00CF55BD"/>
    <w:rsid w:val="00CF62CC"/>
    <w:rsid w:val="00CF644D"/>
    <w:rsid w:val="00CF66E5"/>
    <w:rsid w:val="00CF6859"/>
    <w:rsid w:val="00CF76A3"/>
    <w:rsid w:val="00CF76C9"/>
    <w:rsid w:val="00CF79E0"/>
    <w:rsid w:val="00CF7B7B"/>
    <w:rsid w:val="00CF7C56"/>
    <w:rsid w:val="00CF7F14"/>
    <w:rsid w:val="00CF7FD9"/>
    <w:rsid w:val="00D0005A"/>
    <w:rsid w:val="00D008BC"/>
    <w:rsid w:val="00D009DF"/>
    <w:rsid w:val="00D00AE8"/>
    <w:rsid w:val="00D00F4E"/>
    <w:rsid w:val="00D0122A"/>
    <w:rsid w:val="00D01A72"/>
    <w:rsid w:val="00D01B24"/>
    <w:rsid w:val="00D01BB0"/>
    <w:rsid w:val="00D02081"/>
    <w:rsid w:val="00D020BE"/>
    <w:rsid w:val="00D0222A"/>
    <w:rsid w:val="00D03027"/>
    <w:rsid w:val="00D03758"/>
    <w:rsid w:val="00D038CB"/>
    <w:rsid w:val="00D0396D"/>
    <w:rsid w:val="00D03A92"/>
    <w:rsid w:val="00D03B67"/>
    <w:rsid w:val="00D03D2B"/>
    <w:rsid w:val="00D0443F"/>
    <w:rsid w:val="00D0475C"/>
    <w:rsid w:val="00D04781"/>
    <w:rsid w:val="00D048FB"/>
    <w:rsid w:val="00D048FE"/>
    <w:rsid w:val="00D04A66"/>
    <w:rsid w:val="00D04AC1"/>
    <w:rsid w:val="00D05278"/>
    <w:rsid w:val="00D0548A"/>
    <w:rsid w:val="00D05659"/>
    <w:rsid w:val="00D05705"/>
    <w:rsid w:val="00D05A20"/>
    <w:rsid w:val="00D05B7D"/>
    <w:rsid w:val="00D064C9"/>
    <w:rsid w:val="00D06533"/>
    <w:rsid w:val="00D06A62"/>
    <w:rsid w:val="00D06BE8"/>
    <w:rsid w:val="00D06C21"/>
    <w:rsid w:val="00D07353"/>
    <w:rsid w:val="00D077BB"/>
    <w:rsid w:val="00D07F04"/>
    <w:rsid w:val="00D1004A"/>
    <w:rsid w:val="00D10465"/>
    <w:rsid w:val="00D10AD6"/>
    <w:rsid w:val="00D1112C"/>
    <w:rsid w:val="00D1185F"/>
    <w:rsid w:val="00D11E39"/>
    <w:rsid w:val="00D1249C"/>
    <w:rsid w:val="00D1273D"/>
    <w:rsid w:val="00D127B1"/>
    <w:rsid w:val="00D131DD"/>
    <w:rsid w:val="00D133D8"/>
    <w:rsid w:val="00D1350D"/>
    <w:rsid w:val="00D136C9"/>
    <w:rsid w:val="00D13F88"/>
    <w:rsid w:val="00D141ED"/>
    <w:rsid w:val="00D141F6"/>
    <w:rsid w:val="00D1433C"/>
    <w:rsid w:val="00D149B2"/>
    <w:rsid w:val="00D14A09"/>
    <w:rsid w:val="00D1516E"/>
    <w:rsid w:val="00D15630"/>
    <w:rsid w:val="00D1574E"/>
    <w:rsid w:val="00D168B2"/>
    <w:rsid w:val="00D170CB"/>
    <w:rsid w:val="00D17EBA"/>
    <w:rsid w:val="00D208DB"/>
    <w:rsid w:val="00D20B13"/>
    <w:rsid w:val="00D21023"/>
    <w:rsid w:val="00D2144E"/>
    <w:rsid w:val="00D21957"/>
    <w:rsid w:val="00D221E4"/>
    <w:rsid w:val="00D221F9"/>
    <w:rsid w:val="00D227AC"/>
    <w:rsid w:val="00D22F28"/>
    <w:rsid w:val="00D232A3"/>
    <w:rsid w:val="00D23472"/>
    <w:rsid w:val="00D238BC"/>
    <w:rsid w:val="00D23B4D"/>
    <w:rsid w:val="00D25A41"/>
    <w:rsid w:val="00D25CA8"/>
    <w:rsid w:val="00D26090"/>
    <w:rsid w:val="00D26C22"/>
    <w:rsid w:val="00D26CDD"/>
    <w:rsid w:val="00D26F6E"/>
    <w:rsid w:val="00D2707D"/>
    <w:rsid w:val="00D274CB"/>
    <w:rsid w:val="00D27616"/>
    <w:rsid w:val="00D27732"/>
    <w:rsid w:val="00D30D6D"/>
    <w:rsid w:val="00D31117"/>
    <w:rsid w:val="00D318E5"/>
    <w:rsid w:val="00D31A63"/>
    <w:rsid w:val="00D31F47"/>
    <w:rsid w:val="00D32275"/>
    <w:rsid w:val="00D326A1"/>
    <w:rsid w:val="00D32959"/>
    <w:rsid w:val="00D33A00"/>
    <w:rsid w:val="00D340E2"/>
    <w:rsid w:val="00D34197"/>
    <w:rsid w:val="00D342C1"/>
    <w:rsid w:val="00D34479"/>
    <w:rsid w:val="00D3473F"/>
    <w:rsid w:val="00D3496E"/>
    <w:rsid w:val="00D35450"/>
    <w:rsid w:val="00D354DD"/>
    <w:rsid w:val="00D35AE3"/>
    <w:rsid w:val="00D35EA3"/>
    <w:rsid w:val="00D35F09"/>
    <w:rsid w:val="00D35FAE"/>
    <w:rsid w:val="00D35FDD"/>
    <w:rsid w:val="00D36667"/>
    <w:rsid w:val="00D36671"/>
    <w:rsid w:val="00D36FD6"/>
    <w:rsid w:val="00D36FDD"/>
    <w:rsid w:val="00D37624"/>
    <w:rsid w:val="00D378AD"/>
    <w:rsid w:val="00D37919"/>
    <w:rsid w:val="00D37FDD"/>
    <w:rsid w:val="00D402A2"/>
    <w:rsid w:val="00D407B0"/>
    <w:rsid w:val="00D4155C"/>
    <w:rsid w:val="00D418F8"/>
    <w:rsid w:val="00D419D3"/>
    <w:rsid w:val="00D41BD0"/>
    <w:rsid w:val="00D421D1"/>
    <w:rsid w:val="00D428F5"/>
    <w:rsid w:val="00D431EE"/>
    <w:rsid w:val="00D43A1E"/>
    <w:rsid w:val="00D4425D"/>
    <w:rsid w:val="00D44830"/>
    <w:rsid w:val="00D44A52"/>
    <w:rsid w:val="00D44B11"/>
    <w:rsid w:val="00D44E6A"/>
    <w:rsid w:val="00D460E3"/>
    <w:rsid w:val="00D4623F"/>
    <w:rsid w:val="00D46833"/>
    <w:rsid w:val="00D469DC"/>
    <w:rsid w:val="00D46B3C"/>
    <w:rsid w:val="00D46CAA"/>
    <w:rsid w:val="00D46D5B"/>
    <w:rsid w:val="00D474C8"/>
    <w:rsid w:val="00D47AE0"/>
    <w:rsid w:val="00D47BFB"/>
    <w:rsid w:val="00D47DDA"/>
    <w:rsid w:val="00D47EDD"/>
    <w:rsid w:val="00D47F0A"/>
    <w:rsid w:val="00D5019F"/>
    <w:rsid w:val="00D503DF"/>
    <w:rsid w:val="00D50611"/>
    <w:rsid w:val="00D5080C"/>
    <w:rsid w:val="00D50C8A"/>
    <w:rsid w:val="00D50F81"/>
    <w:rsid w:val="00D51413"/>
    <w:rsid w:val="00D51558"/>
    <w:rsid w:val="00D51693"/>
    <w:rsid w:val="00D51A83"/>
    <w:rsid w:val="00D51C22"/>
    <w:rsid w:val="00D51CE3"/>
    <w:rsid w:val="00D51D55"/>
    <w:rsid w:val="00D52100"/>
    <w:rsid w:val="00D52334"/>
    <w:rsid w:val="00D5287C"/>
    <w:rsid w:val="00D52941"/>
    <w:rsid w:val="00D532D3"/>
    <w:rsid w:val="00D53B40"/>
    <w:rsid w:val="00D53B78"/>
    <w:rsid w:val="00D53C56"/>
    <w:rsid w:val="00D54A1C"/>
    <w:rsid w:val="00D54FEC"/>
    <w:rsid w:val="00D55A1F"/>
    <w:rsid w:val="00D55B29"/>
    <w:rsid w:val="00D55BC4"/>
    <w:rsid w:val="00D55DBC"/>
    <w:rsid w:val="00D55DCB"/>
    <w:rsid w:val="00D565AD"/>
    <w:rsid w:val="00D57D92"/>
    <w:rsid w:val="00D57ED3"/>
    <w:rsid w:val="00D6036F"/>
    <w:rsid w:val="00D604F8"/>
    <w:rsid w:val="00D60A23"/>
    <w:rsid w:val="00D60BFF"/>
    <w:rsid w:val="00D60C24"/>
    <w:rsid w:val="00D60E4C"/>
    <w:rsid w:val="00D60F3B"/>
    <w:rsid w:val="00D61CAB"/>
    <w:rsid w:val="00D61FEE"/>
    <w:rsid w:val="00D62171"/>
    <w:rsid w:val="00D6285F"/>
    <w:rsid w:val="00D6316C"/>
    <w:rsid w:val="00D6328A"/>
    <w:rsid w:val="00D63479"/>
    <w:rsid w:val="00D634BC"/>
    <w:rsid w:val="00D63791"/>
    <w:rsid w:val="00D63AEC"/>
    <w:rsid w:val="00D63B50"/>
    <w:rsid w:val="00D63B72"/>
    <w:rsid w:val="00D6418D"/>
    <w:rsid w:val="00D641CC"/>
    <w:rsid w:val="00D64749"/>
    <w:rsid w:val="00D64ADE"/>
    <w:rsid w:val="00D64D08"/>
    <w:rsid w:val="00D657DC"/>
    <w:rsid w:val="00D65D65"/>
    <w:rsid w:val="00D65E05"/>
    <w:rsid w:val="00D65EBF"/>
    <w:rsid w:val="00D6627E"/>
    <w:rsid w:val="00D667B0"/>
    <w:rsid w:val="00D66BDC"/>
    <w:rsid w:val="00D66FBB"/>
    <w:rsid w:val="00D675D0"/>
    <w:rsid w:val="00D706C6"/>
    <w:rsid w:val="00D70FAA"/>
    <w:rsid w:val="00D7154D"/>
    <w:rsid w:val="00D715D5"/>
    <w:rsid w:val="00D71990"/>
    <w:rsid w:val="00D71B46"/>
    <w:rsid w:val="00D71B48"/>
    <w:rsid w:val="00D71F97"/>
    <w:rsid w:val="00D7297E"/>
    <w:rsid w:val="00D72CCC"/>
    <w:rsid w:val="00D73150"/>
    <w:rsid w:val="00D7317A"/>
    <w:rsid w:val="00D73266"/>
    <w:rsid w:val="00D73DA6"/>
    <w:rsid w:val="00D73F71"/>
    <w:rsid w:val="00D7467E"/>
    <w:rsid w:val="00D74791"/>
    <w:rsid w:val="00D74D00"/>
    <w:rsid w:val="00D74D36"/>
    <w:rsid w:val="00D75001"/>
    <w:rsid w:val="00D758FA"/>
    <w:rsid w:val="00D75982"/>
    <w:rsid w:val="00D76108"/>
    <w:rsid w:val="00D766AB"/>
    <w:rsid w:val="00D76B0B"/>
    <w:rsid w:val="00D76FAA"/>
    <w:rsid w:val="00D77687"/>
    <w:rsid w:val="00D77D6E"/>
    <w:rsid w:val="00D80837"/>
    <w:rsid w:val="00D80C5B"/>
    <w:rsid w:val="00D80F1A"/>
    <w:rsid w:val="00D81681"/>
    <w:rsid w:val="00D8179F"/>
    <w:rsid w:val="00D81C59"/>
    <w:rsid w:val="00D8227B"/>
    <w:rsid w:val="00D8245E"/>
    <w:rsid w:val="00D82679"/>
    <w:rsid w:val="00D837B1"/>
    <w:rsid w:val="00D83892"/>
    <w:rsid w:val="00D83B1A"/>
    <w:rsid w:val="00D83EDE"/>
    <w:rsid w:val="00D844C1"/>
    <w:rsid w:val="00D84992"/>
    <w:rsid w:val="00D85221"/>
    <w:rsid w:val="00D854EE"/>
    <w:rsid w:val="00D854F9"/>
    <w:rsid w:val="00D856A4"/>
    <w:rsid w:val="00D86D3C"/>
    <w:rsid w:val="00D872BC"/>
    <w:rsid w:val="00D87A0A"/>
    <w:rsid w:val="00D90286"/>
    <w:rsid w:val="00D9075E"/>
    <w:rsid w:val="00D90955"/>
    <w:rsid w:val="00D90F69"/>
    <w:rsid w:val="00D9166F"/>
    <w:rsid w:val="00D91B2C"/>
    <w:rsid w:val="00D91D04"/>
    <w:rsid w:val="00D91D46"/>
    <w:rsid w:val="00D91D9D"/>
    <w:rsid w:val="00D91E31"/>
    <w:rsid w:val="00D9216B"/>
    <w:rsid w:val="00D92511"/>
    <w:rsid w:val="00D926DB"/>
    <w:rsid w:val="00D92752"/>
    <w:rsid w:val="00D92835"/>
    <w:rsid w:val="00D92852"/>
    <w:rsid w:val="00D92A5B"/>
    <w:rsid w:val="00D94521"/>
    <w:rsid w:val="00D94695"/>
    <w:rsid w:val="00D94975"/>
    <w:rsid w:val="00D950BA"/>
    <w:rsid w:val="00D95ED0"/>
    <w:rsid w:val="00D961A7"/>
    <w:rsid w:val="00D9643D"/>
    <w:rsid w:val="00D964DF"/>
    <w:rsid w:val="00D96B06"/>
    <w:rsid w:val="00D96BCD"/>
    <w:rsid w:val="00D97740"/>
    <w:rsid w:val="00D97B6F"/>
    <w:rsid w:val="00D97C65"/>
    <w:rsid w:val="00D97FDB"/>
    <w:rsid w:val="00DA0353"/>
    <w:rsid w:val="00DA0396"/>
    <w:rsid w:val="00DA08AF"/>
    <w:rsid w:val="00DA094B"/>
    <w:rsid w:val="00DA0A83"/>
    <w:rsid w:val="00DA0C62"/>
    <w:rsid w:val="00DA0CE9"/>
    <w:rsid w:val="00DA1597"/>
    <w:rsid w:val="00DA16DF"/>
    <w:rsid w:val="00DA26B7"/>
    <w:rsid w:val="00DA281B"/>
    <w:rsid w:val="00DA2EED"/>
    <w:rsid w:val="00DA315E"/>
    <w:rsid w:val="00DA31C8"/>
    <w:rsid w:val="00DA41A6"/>
    <w:rsid w:val="00DA484B"/>
    <w:rsid w:val="00DA49F1"/>
    <w:rsid w:val="00DA51F4"/>
    <w:rsid w:val="00DA559D"/>
    <w:rsid w:val="00DA5AFA"/>
    <w:rsid w:val="00DA5B83"/>
    <w:rsid w:val="00DA5CEE"/>
    <w:rsid w:val="00DA65C5"/>
    <w:rsid w:val="00DA69D5"/>
    <w:rsid w:val="00DA6D96"/>
    <w:rsid w:val="00DA6F15"/>
    <w:rsid w:val="00DA7071"/>
    <w:rsid w:val="00DA71DB"/>
    <w:rsid w:val="00DA73AE"/>
    <w:rsid w:val="00DA73DA"/>
    <w:rsid w:val="00DA747C"/>
    <w:rsid w:val="00DA7575"/>
    <w:rsid w:val="00DA7DAF"/>
    <w:rsid w:val="00DB0065"/>
    <w:rsid w:val="00DB01C4"/>
    <w:rsid w:val="00DB1095"/>
    <w:rsid w:val="00DB113B"/>
    <w:rsid w:val="00DB148F"/>
    <w:rsid w:val="00DB1ABF"/>
    <w:rsid w:val="00DB1F5D"/>
    <w:rsid w:val="00DB2863"/>
    <w:rsid w:val="00DB2D78"/>
    <w:rsid w:val="00DB2FFB"/>
    <w:rsid w:val="00DB31FC"/>
    <w:rsid w:val="00DB3333"/>
    <w:rsid w:val="00DB3619"/>
    <w:rsid w:val="00DB3735"/>
    <w:rsid w:val="00DB3764"/>
    <w:rsid w:val="00DB385C"/>
    <w:rsid w:val="00DB39E7"/>
    <w:rsid w:val="00DB3ADD"/>
    <w:rsid w:val="00DB3D8E"/>
    <w:rsid w:val="00DB404F"/>
    <w:rsid w:val="00DB429E"/>
    <w:rsid w:val="00DB4329"/>
    <w:rsid w:val="00DB43BE"/>
    <w:rsid w:val="00DB46AB"/>
    <w:rsid w:val="00DB4B17"/>
    <w:rsid w:val="00DB4CCB"/>
    <w:rsid w:val="00DB52FC"/>
    <w:rsid w:val="00DB63D7"/>
    <w:rsid w:val="00DB6413"/>
    <w:rsid w:val="00DB675B"/>
    <w:rsid w:val="00DB69C1"/>
    <w:rsid w:val="00DB796B"/>
    <w:rsid w:val="00DB7C25"/>
    <w:rsid w:val="00DB7DC1"/>
    <w:rsid w:val="00DC09B8"/>
    <w:rsid w:val="00DC0E04"/>
    <w:rsid w:val="00DC1205"/>
    <w:rsid w:val="00DC191E"/>
    <w:rsid w:val="00DC1C40"/>
    <w:rsid w:val="00DC1DA8"/>
    <w:rsid w:val="00DC1F01"/>
    <w:rsid w:val="00DC2044"/>
    <w:rsid w:val="00DC219F"/>
    <w:rsid w:val="00DC23E2"/>
    <w:rsid w:val="00DC3B96"/>
    <w:rsid w:val="00DC3C01"/>
    <w:rsid w:val="00DC3D41"/>
    <w:rsid w:val="00DC3F9D"/>
    <w:rsid w:val="00DC42BD"/>
    <w:rsid w:val="00DC43A0"/>
    <w:rsid w:val="00DC4E6E"/>
    <w:rsid w:val="00DC51EF"/>
    <w:rsid w:val="00DC5401"/>
    <w:rsid w:val="00DC5517"/>
    <w:rsid w:val="00DC5ACA"/>
    <w:rsid w:val="00DC6008"/>
    <w:rsid w:val="00DC6788"/>
    <w:rsid w:val="00DC679C"/>
    <w:rsid w:val="00DC6D30"/>
    <w:rsid w:val="00DC6E29"/>
    <w:rsid w:val="00DC7028"/>
    <w:rsid w:val="00DC7349"/>
    <w:rsid w:val="00DC7425"/>
    <w:rsid w:val="00DC7428"/>
    <w:rsid w:val="00DC75BF"/>
    <w:rsid w:val="00DC793A"/>
    <w:rsid w:val="00DC79FA"/>
    <w:rsid w:val="00DC7AD0"/>
    <w:rsid w:val="00DD0B40"/>
    <w:rsid w:val="00DD174E"/>
    <w:rsid w:val="00DD19AF"/>
    <w:rsid w:val="00DD19D4"/>
    <w:rsid w:val="00DD1FD5"/>
    <w:rsid w:val="00DD2260"/>
    <w:rsid w:val="00DD22A8"/>
    <w:rsid w:val="00DD2406"/>
    <w:rsid w:val="00DD2605"/>
    <w:rsid w:val="00DD2B87"/>
    <w:rsid w:val="00DD2BEC"/>
    <w:rsid w:val="00DD2F15"/>
    <w:rsid w:val="00DD2F43"/>
    <w:rsid w:val="00DD31E2"/>
    <w:rsid w:val="00DD3D64"/>
    <w:rsid w:val="00DD44FA"/>
    <w:rsid w:val="00DD4714"/>
    <w:rsid w:val="00DD47C8"/>
    <w:rsid w:val="00DD48E9"/>
    <w:rsid w:val="00DD4F15"/>
    <w:rsid w:val="00DD50BE"/>
    <w:rsid w:val="00DD55D1"/>
    <w:rsid w:val="00DD57E7"/>
    <w:rsid w:val="00DD5804"/>
    <w:rsid w:val="00DD5B15"/>
    <w:rsid w:val="00DD5FCD"/>
    <w:rsid w:val="00DD6268"/>
    <w:rsid w:val="00DD632C"/>
    <w:rsid w:val="00DD640D"/>
    <w:rsid w:val="00DD65FC"/>
    <w:rsid w:val="00DD6641"/>
    <w:rsid w:val="00DD68D3"/>
    <w:rsid w:val="00DD70F7"/>
    <w:rsid w:val="00DE0D0F"/>
    <w:rsid w:val="00DE11D7"/>
    <w:rsid w:val="00DE125F"/>
    <w:rsid w:val="00DE14B8"/>
    <w:rsid w:val="00DE1A3C"/>
    <w:rsid w:val="00DE1B58"/>
    <w:rsid w:val="00DE1EC9"/>
    <w:rsid w:val="00DE2B65"/>
    <w:rsid w:val="00DE2EBB"/>
    <w:rsid w:val="00DE2EBF"/>
    <w:rsid w:val="00DE30B3"/>
    <w:rsid w:val="00DE30C6"/>
    <w:rsid w:val="00DE320C"/>
    <w:rsid w:val="00DE3462"/>
    <w:rsid w:val="00DE34D6"/>
    <w:rsid w:val="00DE37FC"/>
    <w:rsid w:val="00DE3F66"/>
    <w:rsid w:val="00DE43A5"/>
    <w:rsid w:val="00DE460B"/>
    <w:rsid w:val="00DE4802"/>
    <w:rsid w:val="00DE4C91"/>
    <w:rsid w:val="00DE52BA"/>
    <w:rsid w:val="00DE538B"/>
    <w:rsid w:val="00DE5524"/>
    <w:rsid w:val="00DE590D"/>
    <w:rsid w:val="00DE5A03"/>
    <w:rsid w:val="00DE5C0A"/>
    <w:rsid w:val="00DE5D12"/>
    <w:rsid w:val="00DE5E51"/>
    <w:rsid w:val="00DE5E5D"/>
    <w:rsid w:val="00DE745E"/>
    <w:rsid w:val="00DE783C"/>
    <w:rsid w:val="00DE7A54"/>
    <w:rsid w:val="00DE7B84"/>
    <w:rsid w:val="00DE7DEA"/>
    <w:rsid w:val="00DE7DED"/>
    <w:rsid w:val="00DF0924"/>
    <w:rsid w:val="00DF0937"/>
    <w:rsid w:val="00DF0DBC"/>
    <w:rsid w:val="00DF10C8"/>
    <w:rsid w:val="00DF130C"/>
    <w:rsid w:val="00DF1B8F"/>
    <w:rsid w:val="00DF1F43"/>
    <w:rsid w:val="00DF2340"/>
    <w:rsid w:val="00DF3181"/>
    <w:rsid w:val="00DF4032"/>
    <w:rsid w:val="00DF49D5"/>
    <w:rsid w:val="00DF4C41"/>
    <w:rsid w:val="00DF4E78"/>
    <w:rsid w:val="00DF5600"/>
    <w:rsid w:val="00DF563B"/>
    <w:rsid w:val="00DF5863"/>
    <w:rsid w:val="00DF692F"/>
    <w:rsid w:val="00DF6CDD"/>
    <w:rsid w:val="00DF769A"/>
    <w:rsid w:val="00DF7836"/>
    <w:rsid w:val="00DF7FE4"/>
    <w:rsid w:val="00E00029"/>
    <w:rsid w:val="00E00517"/>
    <w:rsid w:val="00E009D7"/>
    <w:rsid w:val="00E00B43"/>
    <w:rsid w:val="00E00F93"/>
    <w:rsid w:val="00E011A2"/>
    <w:rsid w:val="00E0157E"/>
    <w:rsid w:val="00E016C5"/>
    <w:rsid w:val="00E0199D"/>
    <w:rsid w:val="00E02020"/>
    <w:rsid w:val="00E02978"/>
    <w:rsid w:val="00E02979"/>
    <w:rsid w:val="00E02B79"/>
    <w:rsid w:val="00E02D0D"/>
    <w:rsid w:val="00E0314A"/>
    <w:rsid w:val="00E03455"/>
    <w:rsid w:val="00E03A55"/>
    <w:rsid w:val="00E04C7F"/>
    <w:rsid w:val="00E054DF"/>
    <w:rsid w:val="00E05B17"/>
    <w:rsid w:val="00E05C16"/>
    <w:rsid w:val="00E0603C"/>
    <w:rsid w:val="00E06058"/>
    <w:rsid w:val="00E066FA"/>
    <w:rsid w:val="00E06940"/>
    <w:rsid w:val="00E06C83"/>
    <w:rsid w:val="00E06EEE"/>
    <w:rsid w:val="00E07DC6"/>
    <w:rsid w:val="00E07E0A"/>
    <w:rsid w:val="00E1070A"/>
    <w:rsid w:val="00E111E5"/>
    <w:rsid w:val="00E11319"/>
    <w:rsid w:val="00E11365"/>
    <w:rsid w:val="00E12B98"/>
    <w:rsid w:val="00E12BD5"/>
    <w:rsid w:val="00E12E27"/>
    <w:rsid w:val="00E1336E"/>
    <w:rsid w:val="00E13699"/>
    <w:rsid w:val="00E13F06"/>
    <w:rsid w:val="00E13F87"/>
    <w:rsid w:val="00E141BA"/>
    <w:rsid w:val="00E1451B"/>
    <w:rsid w:val="00E146DD"/>
    <w:rsid w:val="00E14ECE"/>
    <w:rsid w:val="00E152FB"/>
    <w:rsid w:val="00E15704"/>
    <w:rsid w:val="00E15870"/>
    <w:rsid w:val="00E15DC5"/>
    <w:rsid w:val="00E161B0"/>
    <w:rsid w:val="00E1666D"/>
    <w:rsid w:val="00E16CA6"/>
    <w:rsid w:val="00E16EE9"/>
    <w:rsid w:val="00E17A8A"/>
    <w:rsid w:val="00E17D3C"/>
    <w:rsid w:val="00E200BD"/>
    <w:rsid w:val="00E201FB"/>
    <w:rsid w:val="00E20B5E"/>
    <w:rsid w:val="00E20EC0"/>
    <w:rsid w:val="00E20EDE"/>
    <w:rsid w:val="00E2192C"/>
    <w:rsid w:val="00E21A55"/>
    <w:rsid w:val="00E21C7D"/>
    <w:rsid w:val="00E21E5F"/>
    <w:rsid w:val="00E21EDB"/>
    <w:rsid w:val="00E2207B"/>
    <w:rsid w:val="00E2243F"/>
    <w:rsid w:val="00E22471"/>
    <w:rsid w:val="00E228B8"/>
    <w:rsid w:val="00E22A2A"/>
    <w:rsid w:val="00E23790"/>
    <w:rsid w:val="00E23EC6"/>
    <w:rsid w:val="00E2457D"/>
    <w:rsid w:val="00E252AB"/>
    <w:rsid w:val="00E25DFF"/>
    <w:rsid w:val="00E25EAA"/>
    <w:rsid w:val="00E25EFF"/>
    <w:rsid w:val="00E262C7"/>
    <w:rsid w:val="00E269DF"/>
    <w:rsid w:val="00E271CB"/>
    <w:rsid w:val="00E27C0B"/>
    <w:rsid w:val="00E27CFE"/>
    <w:rsid w:val="00E27DD3"/>
    <w:rsid w:val="00E27F6C"/>
    <w:rsid w:val="00E27FE8"/>
    <w:rsid w:val="00E30963"/>
    <w:rsid w:val="00E309C7"/>
    <w:rsid w:val="00E30CF8"/>
    <w:rsid w:val="00E30E96"/>
    <w:rsid w:val="00E30EC4"/>
    <w:rsid w:val="00E3102A"/>
    <w:rsid w:val="00E3102F"/>
    <w:rsid w:val="00E31194"/>
    <w:rsid w:val="00E318C3"/>
    <w:rsid w:val="00E31D1B"/>
    <w:rsid w:val="00E320EC"/>
    <w:rsid w:val="00E32462"/>
    <w:rsid w:val="00E329C6"/>
    <w:rsid w:val="00E34289"/>
    <w:rsid w:val="00E345BA"/>
    <w:rsid w:val="00E34BD4"/>
    <w:rsid w:val="00E34CDA"/>
    <w:rsid w:val="00E34FA1"/>
    <w:rsid w:val="00E35490"/>
    <w:rsid w:val="00E358BE"/>
    <w:rsid w:val="00E35DD8"/>
    <w:rsid w:val="00E35FC7"/>
    <w:rsid w:val="00E369FC"/>
    <w:rsid w:val="00E370F8"/>
    <w:rsid w:val="00E37228"/>
    <w:rsid w:val="00E37295"/>
    <w:rsid w:val="00E373F9"/>
    <w:rsid w:val="00E37BC4"/>
    <w:rsid w:val="00E37D0C"/>
    <w:rsid w:val="00E37DC5"/>
    <w:rsid w:val="00E37DF1"/>
    <w:rsid w:val="00E40101"/>
    <w:rsid w:val="00E403A7"/>
    <w:rsid w:val="00E407F5"/>
    <w:rsid w:val="00E40CA5"/>
    <w:rsid w:val="00E40D5A"/>
    <w:rsid w:val="00E412A6"/>
    <w:rsid w:val="00E415F2"/>
    <w:rsid w:val="00E4206D"/>
    <w:rsid w:val="00E421A7"/>
    <w:rsid w:val="00E425E7"/>
    <w:rsid w:val="00E4281B"/>
    <w:rsid w:val="00E42918"/>
    <w:rsid w:val="00E42960"/>
    <w:rsid w:val="00E42BDD"/>
    <w:rsid w:val="00E42ED9"/>
    <w:rsid w:val="00E43611"/>
    <w:rsid w:val="00E43A0B"/>
    <w:rsid w:val="00E43D10"/>
    <w:rsid w:val="00E444CD"/>
    <w:rsid w:val="00E446F8"/>
    <w:rsid w:val="00E44719"/>
    <w:rsid w:val="00E44DC4"/>
    <w:rsid w:val="00E4512A"/>
    <w:rsid w:val="00E45135"/>
    <w:rsid w:val="00E453DA"/>
    <w:rsid w:val="00E45677"/>
    <w:rsid w:val="00E45A54"/>
    <w:rsid w:val="00E45CBB"/>
    <w:rsid w:val="00E461A5"/>
    <w:rsid w:val="00E46534"/>
    <w:rsid w:val="00E47171"/>
    <w:rsid w:val="00E47384"/>
    <w:rsid w:val="00E47CE5"/>
    <w:rsid w:val="00E47DA3"/>
    <w:rsid w:val="00E501BC"/>
    <w:rsid w:val="00E50285"/>
    <w:rsid w:val="00E502CA"/>
    <w:rsid w:val="00E502DD"/>
    <w:rsid w:val="00E50531"/>
    <w:rsid w:val="00E505D8"/>
    <w:rsid w:val="00E509B5"/>
    <w:rsid w:val="00E51199"/>
    <w:rsid w:val="00E51444"/>
    <w:rsid w:val="00E51A57"/>
    <w:rsid w:val="00E51EC0"/>
    <w:rsid w:val="00E52198"/>
    <w:rsid w:val="00E524BF"/>
    <w:rsid w:val="00E52910"/>
    <w:rsid w:val="00E52B19"/>
    <w:rsid w:val="00E533D5"/>
    <w:rsid w:val="00E53657"/>
    <w:rsid w:val="00E5378A"/>
    <w:rsid w:val="00E53ED2"/>
    <w:rsid w:val="00E54489"/>
    <w:rsid w:val="00E5457A"/>
    <w:rsid w:val="00E54923"/>
    <w:rsid w:val="00E54D81"/>
    <w:rsid w:val="00E555BA"/>
    <w:rsid w:val="00E555EA"/>
    <w:rsid w:val="00E55A31"/>
    <w:rsid w:val="00E55F6D"/>
    <w:rsid w:val="00E5606A"/>
    <w:rsid w:val="00E566C2"/>
    <w:rsid w:val="00E56B08"/>
    <w:rsid w:val="00E56C6F"/>
    <w:rsid w:val="00E570CD"/>
    <w:rsid w:val="00E5754F"/>
    <w:rsid w:val="00E57EFC"/>
    <w:rsid w:val="00E60086"/>
    <w:rsid w:val="00E607F3"/>
    <w:rsid w:val="00E60843"/>
    <w:rsid w:val="00E60F53"/>
    <w:rsid w:val="00E6132B"/>
    <w:rsid w:val="00E616DE"/>
    <w:rsid w:val="00E62333"/>
    <w:rsid w:val="00E62CB1"/>
    <w:rsid w:val="00E62F70"/>
    <w:rsid w:val="00E635D8"/>
    <w:rsid w:val="00E63CB9"/>
    <w:rsid w:val="00E63F1F"/>
    <w:rsid w:val="00E63FB5"/>
    <w:rsid w:val="00E63FED"/>
    <w:rsid w:val="00E64AAE"/>
    <w:rsid w:val="00E64D8D"/>
    <w:rsid w:val="00E650A4"/>
    <w:rsid w:val="00E650D8"/>
    <w:rsid w:val="00E65918"/>
    <w:rsid w:val="00E65D3C"/>
    <w:rsid w:val="00E66172"/>
    <w:rsid w:val="00E661C4"/>
    <w:rsid w:val="00E667AC"/>
    <w:rsid w:val="00E667E4"/>
    <w:rsid w:val="00E672B0"/>
    <w:rsid w:val="00E67490"/>
    <w:rsid w:val="00E676D3"/>
    <w:rsid w:val="00E67C64"/>
    <w:rsid w:val="00E70391"/>
    <w:rsid w:val="00E70A85"/>
    <w:rsid w:val="00E70B9B"/>
    <w:rsid w:val="00E70E02"/>
    <w:rsid w:val="00E70FD1"/>
    <w:rsid w:val="00E7102E"/>
    <w:rsid w:val="00E710AE"/>
    <w:rsid w:val="00E71372"/>
    <w:rsid w:val="00E7188F"/>
    <w:rsid w:val="00E719DE"/>
    <w:rsid w:val="00E71A7B"/>
    <w:rsid w:val="00E71F23"/>
    <w:rsid w:val="00E7205D"/>
    <w:rsid w:val="00E72E4F"/>
    <w:rsid w:val="00E73ECE"/>
    <w:rsid w:val="00E7408F"/>
    <w:rsid w:val="00E7483A"/>
    <w:rsid w:val="00E748BF"/>
    <w:rsid w:val="00E74EFE"/>
    <w:rsid w:val="00E74F72"/>
    <w:rsid w:val="00E7578A"/>
    <w:rsid w:val="00E76A58"/>
    <w:rsid w:val="00E76AD1"/>
    <w:rsid w:val="00E76CF0"/>
    <w:rsid w:val="00E80456"/>
    <w:rsid w:val="00E80A7E"/>
    <w:rsid w:val="00E80C5F"/>
    <w:rsid w:val="00E80E25"/>
    <w:rsid w:val="00E81643"/>
    <w:rsid w:val="00E81EA4"/>
    <w:rsid w:val="00E81FB9"/>
    <w:rsid w:val="00E8351E"/>
    <w:rsid w:val="00E83A7C"/>
    <w:rsid w:val="00E840C6"/>
    <w:rsid w:val="00E8487B"/>
    <w:rsid w:val="00E84EBB"/>
    <w:rsid w:val="00E85684"/>
    <w:rsid w:val="00E8659B"/>
    <w:rsid w:val="00E86AB8"/>
    <w:rsid w:val="00E87864"/>
    <w:rsid w:val="00E87A7B"/>
    <w:rsid w:val="00E87C7A"/>
    <w:rsid w:val="00E920ED"/>
    <w:rsid w:val="00E921B4"/>
    <w:rsid w:val="00E921ED"/>
    <w:rsid w:val="00E9232F"/>
    <w:rsid w:val="00E927EF"/>
    <w:rsid w:val="00E9329E"/>
    <w:rsid w:val="00E935EE"/>
    <w:rsid w:val="00E93628"/>
    <w:rsid w:val="00E93B17"/>
    <w:rsid w:val="00E9427D"/>
    <w:rsid w:val="00E9441F"/>
    <w:rsid w:val="00E945E2"/>
    <w:rsid w:val="00E9465E"/>
    <w:rsid w:val="00E94887"/>
    <w:rsid w:val="00E9488B"/>
    <w:rsid w:val="00E94E10"/>
    <w:rsid w:val="00E94F6E"/>
    <w:rsid w:val="00E952BC"/>
    <w:rsid w:val="00E955C5"/>
    <w:rsid w:val="00E9565C"/>
    <w:rsid w:val="00E957D2"/>
    <w:rsid w:val="00E959B1"/>
    <w:rsid w:val="00E96291"/>
    <w:rsid w:val="00E9681D"/>
    <w:rsid w:val="00E975F0"/>
    <w:rsid w:val="00E979CC"/>
    <w:rsid w:val="00E97B4E"/>
    <w:rsid w:val="00EA02FA"/>
    <w:rsid w:val="00EA0678"/>
    <w:rsid w:val="00EA0A37"/>
    <w:rsid w:val="00EA0E07"/>
    <w:rsid w:val="00EA0EF8"/>
    <w:rsid w:val="00EA0F79"/>
    <w:rsid w:val="00EA1137"/>
    <w:rsid w:val="00EA2178"/>
    <w:rsid w:val="00EA38D8"/>
    <w:rsid w:val="00EA4AAB"/>
    <w:rsid w:val="00EA4E22"/>
    <w:rsid w:val="00EA610C"/>
    <w:rsid w:val="00EA6611"/>
    <w:rsid w:val="00EA6B4F"/>
    <w:rsid w:val="00EA6F4C"/>
    <w:rsid w:val="00EB0085"/>
    <w:rsid w:val="00EB017B"/>
    <w:rsid w:val="00EB0432"/>
    <w:rsid w:val="00EB0554"/>
    <w:rsid w:val="00EB0B13"/>
    <w:rsid w:val="00EB0D3A"/>
    <w:rsid w:val="00EB12C0"/>
    <w:rsid w:val="00EB1552"/>
    <w:rsid w:val="00EB248D"/>
    <w:rsid w:val="00EB27ED"/>
    <w:rsid w:val="00EB2D5B"/>
    <w:rsid w:val="00EB3293"/>
    <w:rsid w:val="00EB38B5"/>
    <w:rsid w:val="00EB38C4"/>
    <w:rsid w:val="00EB3996"/>
    <w:rsid w:val="00EB433A"/>
    <w:rsid w:val="00EB4995"/>
    <w:rsid w:val="00EB4A40"/>
    <w:rsid w:val="00EB4C94"/>
    <w:rsid w:val="00EB5021"/>
    <w:rsid w:val="00EB51B9"/>
    <w:rsid w:val="00EB5317"/>
    <w:rsid w:val="00EB59B7"/>
    <w:rsid w:val="00EB5B53"/>
    <w:rsid w:val="00EB5C98"/>
    <w:rsid w:val="00EB5D0E"/>
    <w:rsid w:val="00EB5F3D"/>
    <w:rsid w:val="00EB625D"/>
    <w:rsid w:val="00EB6438"/>
    <w:rsid w:val="00EB674D"/>
    <w:rsid w:val="00EB67FA"/>
    <w:rsid w:val="00EC0474"/>
    <w:rsid w:val="00EC060D"/>
    <w:rsid w:val="00EC08E5"/>
    <w:rsid w:val="00EC08F1"/>
    <w:rsid w:val="00EC0BD2"/>
    <w:rsid w:val="00EC0D58"/>
    <w:rsid w:val="00EC1999"/>
    <w:rsid w:val="00EC1D72"/>
    <w:rsid w:val="00EC1DAC"/>
    <w:rsid w:val="00EC1DB7"/>
    <w:rsid w:val="00EC2397"/>
    <w:rsid w:val="00EC2926"/>
    <w:rsid w:val="00EC2C4B"/>
    <w:rsid w:val="00EC3307"/>
    <w:rsid w:val="00EC398D"/>
    <w:rsid w:val="00EC3E80"/>
    <w:rsid w:val="00EC3EC2"/>
    <w:rsid w:val="00EC3F8F"/>
    <w:rsid w:val="00EC4074"/>
    <w:rsid w:val="00EC41DF"/>
    <w:rsid w:val="00EC47D1"/>
    <w:rsid w:val="00EC4B8F"/>
    <w:rsid w:val="00EC507C"/>
    <w:rsid w:val="00EC523F"/>
    <w:rsid w:val="00EC5465"/>
    <w:rsid w:val="00EC54DF"/>
    <w:rsid w:val="00EC5934"/>
    <w:rsid w:val="00EC625E"/>
    <w:rsid w:val="00EC671B"/>
    <w:rsid w:val="00EC70CB"/>
    <w:rsid w:val="00EC723B"/>
    <w:rsid w:val="00EC753B"/>
    <w:rsid w:val="00ED015D"/>
    <w:rsid w:val="00ED029F"/>
    <w:rsid w:val="00ED0399"/>
    <w:rsid w:val="00ED0B74"/>
    <w:rsid w:val="00ED0CD8"/>
    <w:rsid w:val="00ED0CDE"/>
    <w:rsid w:val="00ED171C"/>
    <w:rsid w:val="00ED17AD"/>
    <w:rsid w:val="00ED2201"/>
    <w:rsid w:val="00ED2317"/>
    <w:rsid w:val="00ED2A61"/>
    <w:rsid w:val="00ED33BD"/>
    <w:rsid w:val="00ED3818"/>
    <w:rsid w:val="00ED3E73"/>
    <w:rsid w:val="00ED4132"/>
    <w:rsid w:val="00ED4235"/>
    <w:rsid w:val="00ED470A"/>
    <w:rsid w:val="00ED4C7F"/>
    <w:rsid w:val="00ED4DF4"/>
    <w:rsid w:val="00ED5817"/>
    <w:rsid w:val="00ED5973"/>
    <w:rsid w:val="00ED6215"/>
    <w:rsid w:val="00ED68C1"/>
    <w:rsid w:val="00ED7146"/>
    <w:rsid w:val="00ED72CC"/>
    <w:rsid w:val="00ED79AA"/>
    <w:rsid w:val="00ED7B81"/>
    <w:rsid w:val="00ED7D38"/>
    <w:rsid w:val="00ED7EC2"/>
    <w:rsid w:val="00EE0515"/>
    <w:rsid w:val="00EE0540"/>
    <w:rsid w:val="00EE0BCE"/>
    <w:rsid w:val="00EE0CFB"/>
    <w:rsid w:val="00EE1A2A"/>
    <w:rsid w:val="00EE1BD5"/>
    <w:rsid w:val="00EE1BEA"/>
    <w:rsid w:val="00EE2327"/>
    <w:rsid w:val="00EE25EC"/>
    <w:rsid w:val="00EE2EEF"/>
    <w:rsid w:val="00EE3100"/>
    <w:rsid w:val="00EE3279"/>
    <w:rsid w:val="00EE33CB"/>
    <w:rsid w:val="00EE35E5"/>
    <w:rsid w:val="00EE3820"/>
    <w:rsid w:val="00EE38CC"/>
    <w:rsid w:val="00EE4639"/>
    <w:rsid w:val="00EE471C"/>
    <w:rsid w:val="00EE55ED"/>
    <w:rsid w:val="00EE5670"/>
    <w:rsid w:val="00EE5671"/>
    <w:rsid w:val="00EE5908"/>
    <w:rsid w:val="00EE5942"/>
    <w:rsid w:val="00EE59E2"/>
    <w:rsid w:val="00EE5C6D"/>
    <w:rsid w:val="00EE5CF2"/>
    <w:rsid w:val="00EE68A3"/>
    <w:rsid w:val="00EE69C5"/>
    <w:rsid w:val="00EE6A4E"/>
    <w:rsid w:val="00EE6ACE"/>
    <w:rsid w:val="00EE78DF"/>
    <w:rsid w:val="00EE7DDF"/>
    <w:rsid w:val="00EE7EC1"/>
    <w:rsid w:val="00EF04D9"/>
    <w:rsid w:val="00EF0726"/>
    <w:rsid w:val="00EF0C0A"/>
    <w:rsid w:val="00EF0FDD"/>
    <w:rsid w:val="00EF0FE1"/>
    <w:rsid w:val="00EF12DE"/>
    <w:rsid w:val="00EF192B"/>
    <w:rsid w:val="00EF1A8E"/>
    <w:rsid w:val="00EF3DD6"/>
    <w:rsid w:val="00EF4763"/>
    <w:rsid w:val="00EF4961"/>
    <w:rsid w:val="00EF4B76"/>
    <w:rsid w:val="00EF4D35"/>
    <w:rsid w:val="00EF4F7D"/>
    <w:rsid w:val="00EF51CC"/>
    <w:rsid w:val="00EF5206"/>
    <w:rsid w:val="00EF5345"/>
    <w:rsid w:val="00EF5823"/>
    <w:rsid w:val="00EF5A2E"/>
    <w:rsid w:val="00EF5BFE"/>
    <w:rsid w:val="00EF61C0"/>
    <w:rsid w:val="00EF698B"/>
    <w:rsid w:val="00EF71BD"/>
    <w:rsid w:val="00EF7882"/>
    <w:rsid w:val="00EF7922"/>
    <w:rsid w:val="00EF7EC2"/>
    <w:rsid w:val="00F0016F"/>
    <w:rsid w:val="00F001D3"/>
    <w:rsid w:val="00F0035F"/>
    <w:rsid w:val="00F00366"/>
    <w:rsid w:val="00F003F8"/>
    <w:rsid w:val="00F005C2"/>
    <w:rsid w:val="00F00B9D"/>
    <w:rsid w:val="00F00F2A"/>
    <w:rsid w:val="00F01013"/>
    <w:rsid w:val="00F012C0"/>
    <w:rsid w:val="00F01C00"/>
    <w:rsid w:val="00F02112"/>
    <w:rsid w:val="00F02B58"/>
    <w:rsid w:val="00F03945"/>
    <w:rsid w:val="00F042C2"/>
    <w:rsid w:val="00F04417"/>
    <w:rsid w:val="00F04689"/>
    <w:rsid w:val="00F04A86"/>
    <w:rsid w:val="00F055C1"/>
    <w:rsid w:val="00F0588C"/>
    <w:rsid w:val="00F05FAC"/>
    <w:rsid w:val="00F06686"/>
    <w:rsid w:val="00F06E9A"/>
    <w:rsid w:val="00F06FC9"/>
    <w:rsid w:val="00F07025"/>
    <w:rsid w:val="00F072A8"/>
    <w:rsid w:val="00F07403"/>
    <w:rsid w:val="00F076A5"/>
    <w:rsid w:val="00F07A03"/>
    <w:rsid w:val="00F07CBA"/>
    <w:rsid w:val="00F07DEA"/>
    <w:rsid w:val="00F10005"/>
    <w:rsid w:val="00F104E2"/>
    <w:rsid w:val="00F105B8"/>
    <w:rsid w:val="00F10E5C"/>
    <w:rsid w:val="00F10EE5"/>
    <w:rsid w:val="00F11503"/>
    <w:rsid w:val="00F115F7"/>
    <w:rsid w:val="00F12142"/>
    <w:rsid w:val="00F123AA"/>
    <w:rsid w:val="00F1272A"/>
    <w:rsid w:val="00F12827"/>
    <w:rsid w:val="00F12F2E"/>
    <w:rsid w:val="00F12FEB"/>
    <w:rsid w:val="00F13289"/>
    <w:rsid w:val="00F137E3"/>
    <w:rsid w:val="00F14110"/>
    <w:rsid w:val="00F14737"/>
    <w:rsid w:val="00F14C2F"/>
    <w:rsid w:val="00F14D7B"/>
    <w:rsid w:val="00F14E36"/>
    <w:rsid w:val="00F14FAE"/>
    <w:rsid w:val="00F151F4"/>
    <w:rsid w:val="00F15427"/>
    <w:rsid w:val="00F155E1"/>
    <w:rsid w:val="00F15DCE"/>
    <w:rsid w:val="00F15F96"/>
    <w:rsid w:val="00F1603A"/>
    <w:rsid w:val="00F16102"/>
    <w:rsid w:val="00F16D3C"/>
    <w:rsid w:val="00F16F06"/>
    <w:rsid w:val="00F176B2"/>
    <w:rsid w:val="00F178CB"/>
    <w:rsid w:val="00F17995"/>
    <w:rsid w:val="00F17EA0"/>
    <w:rsid w:val="00F2011E"/>
    <w:rsid w:val="00F204BD"/>
    <w:rsid w:val="00F206A4"/>
    <w:rsid w:val="00F208D6"/>
    <w:rsid w:val="00F208E9"/>
    <w:rsid w:val="00F20D32"/>
    <w:rsid w:val="00F20D50"/>
    <w:rsid w:val="00F20FCA"/>
    <w:rsid w:val="00F21378"/>
    <w:rsid w:val="00F217E8"/>
    <w:rsid w:val="00F21E72"/>
    <w:rsid w:val="00F2247A"/>
    <w:rsid w:val="00F226E2"/>
    <w:rsid w:val="00F22730"/>
    <w:rsid w:val="00F2298D"/>
    <w:rsid w:val="00F2359D"/>
    <w:rsid w:val="00F235D1"/>
    <w:rsid w:val="00F236C6"/>
    <w:rsid w:val="00F23DDC"/>
    <w:rsid w:val="00F23FFB"/>
    <w:rsid w:val="00F2456F"/>
    <w:rsid w:val="00F24D42"/>
    <w:rsid w:val="00F256FE"/>
    <w:rsid w:val="00F25DA2"/>
    <w:rsid w:val="00F25DFD"/>
    <w:rsid w:val="00F260C8"/>
    <w:rsid w:val="00F26164"/>
    <w:rsid w:val="00F26420"/>
    <w:rsid w:val="00F26649"/>
    <w:rsid w:val="00F26727"/>
    <w:rsid w:val="00F26DFD"/>
    <w:rsid w:val="00F2728D"/>
    <w:rsid w:val="00F273D3"/>
    <w:rsid w:val="00F27BE1"/>
    <w:rsid w:val="00F30027"/>
    <w:rsid w:val="00F300D2"/>
    <w:rsid w:val="00F30170"/>
    <w:rsid w:val="00F30287"/>
    <w:rsid w:val="00F30992"/>
    <w:rsid w:val="00F30D6F"/>
    <w:rsid w:val="00F30EE7"/>
    <w:rsid w:val="00F3102B"/>
    <w:rsid w:val="00F315B2"/>
    <w:rsid w:val="00F316E7"/>
    <w:rsid w:val="00F319DC"/>
    <w:rsid w:val="00F31AC3"/>
    <w:rsid w:val="00F31C09"/>
    <w:rsid w:val="00F31C14"/>
    <w:rsid w:val="00F3212F"/>
    <w:rsid w:val="00F3297B"/>
    <w:rsid w:val="00F32986"/>
    <w:rsid w:val="00F32A75"/>
    <w:rsid w:val="00F32ED7"/>
    <w:rsid w:val="00F334DF"/>
    <w:rsid w:val="00F3359E"/>
    <w:rsid w:val="00F33659"/>
    <w:rsid w:val="00F34155"/>
    <w:rsid w:val="00F3425C"/>
    <w:rsid w:val="00F349DA"/>
    <w:rsid w:val="00F34DF5"/>
    <w:rsid w:val="00F34EF9"/>
    <w:rsid w:val="00F3553D"/>
    <w:rsid w:val="00F357C9"/>
    <w:rsid w:val="00F35C80"/>
    <w:rsid w:val="00F36961"/>
    <w:rsid w:val="00F36C06"/>
    <w:rsid w:val="00F370CD"/>
    <w:rsid w:val="00F371CC"/>
    <w:rsid w:val="00F37B7F"/>
    <w:rsid w:val="00F4045A"/>
    <w:rsid w:val="00F40582"/>
    <w:rsid w:val="00F40A00"/>
    <w:rsid w:val="00F40A6E"/>
    <w:rsid w:val="00F40EE1"/>
    <w:rsid w:val="00F41147"/>
    <w:rsid w:val="00F4154D"/>
    <w:rsid w:val="00F423AE"/>
    <w:rsid w:val="00F423B6"/>
    <w:rsid w:val="00F4271E"/>
    <w:rsid w:val="00F4296A"/>
    <w:rsid w:val="00F42AC6"/>
    <w:rsid w:val="00F42D5A"/>
    <w:rsid w:val="00F43150"/>
    <w:rsid w:val="00F43D5A"/>
    <w:rsid w:val="00F43D89"/>
    <w:rsid w:val="00F43D8C"/>
    <w:rsid w:val="00F43F90"/>
    <w:rsid w:val="00F440A3"/>
    <w:rsid w:val="00F44589"/>
    <w:rsid w:val="00F44B32"/>
    <w:rsid w:val="00F44C49"/>
    <w:rsid w:val="00F4512A"/>
    <w:rsid w:val="00F455E3"/>
    <w:rsid w:val="00F456AF"/>
    <w:rsid w:val="00F45E15"/>
    <w:rsid w:val="00F4639E"/>
    <w:rsid w:val="00F464C4"/>
    <w:rsid w:val="00F46828"/>
    <w:rsid w:val="00F46FEB"/>
    <w:rsid w:val="00F47033"/>
    <w:rsid w:val="00F47915"/>
    <w:rsid w:val="00F479B5"/>
    <w:rsid w:val="00F47DE6"/>
    <w:rsid w:val="00F51631"/>
    <w:rsid w:val="00F51BD7"/>
    <w:rsid w:val="00F51C57"/>
    <w:rsid w:val="00F51E8C"/>
    <w:rsid w:val="00F52004"/>
    <w:rsid w:val="00F520B6"/>
    <w:rsid w:val="00F52C5A"/>
    <w:rsid w:val="00F532A8"/>
    <w:rsid w:val="00F5338D"/>
    <w:rsid w:val="00F534C5"/>
    <w:rsid w:val="00F535BE"/>
    <w:rsid w:val="00F535F7"/>
    <w:rsid w:val="00F538E5"/>
    <w:rsid w:val="00F53985"/>
    <w:rsid w:val="00F53FEC"/>
    <w:rsid w:val="00F54501"/>
    <w:rsid w:val="00F54533"/>
    <w:rsid w:val="00F54607"/>
    <w:rsid w:val="00F54A28"/>
    <w:rsid w:val="00F54ADD"/>
    <w:rsid w:val="00F54C4B"/>
    <w:rsid w:val="00F54C6C"/>
    <w:rsid w:val="00F54DE9"/>
    <w:rsid w:val="00F54E73"/>
    <w:rsid w:val="00F554E0"/>
    <w:rsid w:val="00F563C6"/>
    <w:rsid w:val="00F5657C"/>
    <w:rsid w:val="00F56774"/>
    <w:rsid w:val="00F56EED"/>
    <w:rsid w:val="00F57C6F"/>
    <w:rsid w:val="00F57D66"/>
    <w:rsid w:val="00F60199"/>
    <w:rsid w:val="00F602A2"/>
    <w:rsid w:val="00F609E5"/>
    <w:rsid w:val="00F61F56"/>
    <w:rsid w:val="00F628D1"/>
    <w:rsid w:val="00F62AA7"/>
    <w:rsid w:val="00F63063"/>
    <w:rsid w:val="00F630D8"/>
    <w:rsid w:val="00F63598"/>
    <w:rsid w:val="00F639A1"/>
    <w:rsid w:val="00F642F4"/>
    <w:rsid w:val="00F64A07"/>
    <w:rsid w:val="00F65E0D"/>
    <w:rsid w:val="00F65E8D"/>
    <w:rsid w:val="00F660DA"/>
    <w:rsid w:val="00F66326"/>
    <w:rsid w:val="00F6638B"/>
    <w:rsid w:val="00F66FB9"/>
    <w:rsid w:val="00F70111"/>
    <w:rsid w:val="00F7040F"/>
    <w:rsid w:val="00F705FC"/>
    <w:rsid w:val="00F7064F"/>
    <w:rsid w:val="00F7078D"/>
    <w:rsid w:val="00F708CC"/>
    <w:rsid w:val="00F70C7D"/>
    <w:rsid w:val="00F716EA"/>
    <w:rsid w:val="00F71781"/>
    <w:rsid w:val="00F71E57"/>
    <w:rsid w:val="00F72569"/>
    <w:rsid w:val="00F72844"/>
    <w:rsid w:val="00F7285E"/>
    <w:rsid w:val="00F72AAE"/>
    <w:rsid w:val="00F72CA8"/>
    <w:rsid w:val="00F72DE6"/>
    <w:rsid w:val="00F735B6"/>
    <w:rsid w:val="00F73E24"/>
    <w:rsid w:val="00F73E50"/>
    <w:rsid w:val="00F73F58"/>
    <w:rsid w:val="00F7402D"/>
    <w:rsid w:val="00F74153"/>
    <w:rsid w:val="00F74181"/>
    <w:rsid w:val="00F7489E"/>
    <w:rsid w:val="00F74DAD"/>
    <w:rsid w:val="00F75267"/>
    <w:rsid w:val="00F75403"/>
    <w:rsid w:val="00F756AE"/>
    <w:rsid w:val="00F75918"/>
    <w:rsid w:val="00F75B63"/>
    <w:rsid w:val="00F75B6F"/>
    <w:rsid w:val="00F76640"/>
    <w:rsid w:val="00F76651"/>
    <w:rsid w:val="00F769F7"/>
    <w:rsid w:val="00F76A6D"/>
    <w:rsid w:val="00F76B18"/>
    <w:rsid w:val="00F76C40"/>
    <w:rsid w:val="00F76DDC"/>
    <w:rsid w:val="00F80880"/>
    <w:rsid w:val="00F8106F"/>
    <w:rsid w:val="00F810AA"/>
    <w:rsid w:val="00F817D4"/>
    <w:rsid w:val="00F81862"/>
    <w:rsid w:val="00F818C3"/>
    <w:rsid w:val="00F81921"/>
    <w:rsid w:val="00F81A5B"/>
    <w:rsid w:val="00F81DBC"/>
    <w:rsid w:val="00F81FD7"/>
    <w:rsid w:val="00F825D4"/>
    <w:rsid w:val="00F82D56"/>
    <w:rsid w:val="00F83015"/>
    <w:rsid w:val="00F833A9"/>
    <w:rsid w:val="00F838B0"/>
    <w:rsid w:val="00F83A56"/>
    <w:rsid w:val="00F84033"/>
    <w:rsid w:val="00F8440D"/>
    <w:rsid w:val="00F844BB"/>
    <w:rsid w:val="00F846CE"/>
    <w:rsid w:val="00F84F13"/>
    <w:rsid w:val="00F8511D"/>
    <w:rsid w:val="00F85295"/>
    <w:rsid w:val="00F85893"/>
    <w:rsid w:val="00F859F6"/>
    <w:rsid w:val="00F85BA6"/>
    <w:rsid w:val="00F85CEB"/>
    <w:rsid w:val="00F861E7"/>
    <w:rsid w:val="00F8649B"/>
    <w:rsid w:val="00F867F0"/>
    <w:rsid w:val="00F86845"/>
    <w:rsid w:val="00F86A63"/>
    <w:rsid w:val="00F86A70"/>
    <w:rsid w:val="00F86B64"/>
    <w:rsid w:val="00F86CC9"/>
    <w:rsid w:val="00F871B7"/>
    <w:rsid w:val="00F874D2"/>
    <w:rsid w:val="00F877B6"/>
    <w:rsid w:val="00F8793C"/>
    <w:rsid w:val="00F90411"/>
    <w:rsid w:val="00F909B8"/>
    <w:rsid w:val="00F916D2"/>
    <w:rsid w:val="00F91E52"/>
    <w:rsid w:val="00F925BE"/>
    <w:rsid w:val="00F925D3"/>
    <w:rsid w:val="00F931DC"/>
    <w:rsid w:val="00F9348D"/>
    <w:rsid w:val="00F93C9E"/>
    <w:rsid w:val="00F93D32"/>
    <w:rsid w:val="00F93E11"/>
    <w:rsid w:val="00F945A3"/>
    <w:rsid w:val="00F94723"/>
    <w:rsid w:val="00F94C27"/>
    <w:rsid w:val="00F9507B"/>
    <w:rsid w:val="00F959C2"/>
    <w:rsid w:val="00F95AFB"/>
    <w:rsid w:val="00F95CC4"/>
    <w:rsid w:val="00F96340"/>
    <w:rsid w:val="00F9635D"/>
    <w:rsid w:val="00F9690C"/>
    <w:rsid w:val="00F96988"/>
    <w:rsid w:val="00F9701C"/>
    <w:rsid w:val="00F9719D"/>
    <w:rsid w:val="00F971C8"/>
    <w:rsid w:val="00F97BE2"/>
    <w:rsid w:val="00FA0093"/>
    <w:rsid w:val="00FA02BD"/>
    <w:rsid w:val="00FA04F8"/>
    <w:rsid w:val="00FA06CD"/>
    <w:rsid w:val="00FA083A"/>
    <w:rsid w:val="00FA0941"/>
    <w:rsid w:val="00FA15C5"/>
    <w:rsid w:val="00FA1CE0"/>
    <w:rsid w:val="00FA2082"/>
    <w:rsid w:val="00FA2BFD"/>
    <w:rsid w:val="00FA2CF3"/>
    <w:rsid w:val="00FA2D14"/>
    <w:rsid w:val="00FA326B"/>
    <w:rsid w:val="00FA3F96"/>
    <w:rsid w:val="00FA4B1E"/>
    <w:rsid w:val="00FA4C42"/>
    <w:rsid w:val="00FA4D24"/>
    <w:rsid w:val="00FA5740"/>
    <w:rsid w:val="00FA58AC"/>
    <w:rsid w:val="00FA58F3"/>
    <w:rsid w:val="00FA5A7E"/>
    <w:rsid w:val="00FA5E6C"/>
    <w:rsid w:val="00FA5F15"/>
    <w:rsid w:val="00FA6395"/>
    <w:rsid w:val="00FA6606"/>
    <w:rsid w:val="00FA6CE9"/>
    <w:rsid w:val="00FA6FA3"/>
    <w:rsid w:val="00FA70B0"/>
    <w:rsid w:val="00FA70F3"/>
    <w:rsid w:val="00FA729B"/>
    <w:rsid w:val="00FA7329"/>
    <w:rsid w:val="00FA7AE5"/>
    <w:rsid w:val="00FA7C9C"/>
    <w:rsid w:val="00FA7CD7"/>
    <w:rsid w:val="00FA7E23"/>
    <w:rsid w:val="00FA7E32"/>
    <w:rsid w:val="00FB0771"/>
    <w:rsid w:val="00FB0D53"/>
    <w:rsid w:val="00FB1120"/>
    <w:rsid w:val="00FB1334"/>
    <w:rsid w:val="00FB1359"/>
    <w:rsid w:val="00FB135B"/>
    <w:rsid w:val="00FB14CE"/>
    <w:rsid w:val="00FB1519"/>
    <w:rsid w:val="00FB1967"/>
    <w:rsid w:val="00FB200B"/>
    <w:rsid w:val="00FB214D"/>
    <w:rsid w:val="00FB2E42"/>
    <w:rsid w:val="00FB31C6"/>
    <w:rsid w:val="00FB38CA"/>
    <w:rsid w:val="00FB39F3"/>
    <w:rsid w:val="00FB3B04"/>
    <w:rsid w:val="00FB3D04"/>
    <w:rsid w:val="00FB3ECE"/>
    <w:rsid w:val="00FB40BC"/>
    <w:rsid w:val="00FB421E"/>
    <w:rsid w:val="00FB4734"/>
    <w:rsid w:val="00FB4960"/>
    <w:rsid w:val="00FB4A2D"/>
    <w:rsid w:val="00FB53F9"/>
    <w:rsid w:val="00FB55D9"/>
    <w:rsid w:val="00FB573F"/>
    <w:rsid w:val="00FB59C8"/>
    <w:rsid w:val="00FB6452"/>
    <w:rsid w:val="00FB659C"/>
    <w:rsid w:val="00FB6E89"/>
    <w:rsid w:val="00FB7CAC"/>
    <w:rsid w:val="00FC00EF"/>
    <w:rsid w:val="00FC0123"/>
    <w:rsid w:val="00FC01F8"/>
    <w:rsid w:val="00FC0E45"/>
    <w:rsid w:val="00FC0E5B"/>
    <w:rsid w:val="00FC15C7"/>
    <w:rsid w:val="00FC185F"/>
    <w:rsid w:val="00FC1903"/>
    <w:rsid w:val="00FC1934"/>
    <w:rsid w:val="00FC1F09"/>
    <w:rsid w:val="00FC1F4E"/>
    <w:rsid w:val="00FC206F"/>
    <w:rsid w:val="00FC2420"/>
    <w:rsid w:val="00FC244A"/>
    <w:rsid w:val="00FC3020"/>
    <w:rsid w:val="00FC36D1"/>
    <w:rsid w:val="00FC396B"/>
    <w:rsid w:val="00FC3D6F"/>
    <w:rsid w:val="00FC3F48"/>
    <w:rsid w:val="00FC3FBD"/>
    <w:rsid w:val="00FC4456"/>
    <w:rsid w:val="00FC45E4"/>
    <w:rsid w:val="00FC4806"/>
    <w:rsid w:val="00FC4C7A"/>
    <w:rsid w:val="00FC4F65"/>
    <w:rsid w:val="00FC5CF7"/>
    <w:rsid w:val="00FC5F02"/>
    <w:rsid w:val="00FC6AA6"/>
    <w:rsid w:val="00FC7661"/>
    <w:rsid w:val="00FC7829"/>
    <w:rsid w:val="00FC7B12"/>
    <w:rsid w:val="00FC7EFB"/>
    <w:rsid w:val="00FD0408"/>
    <w:rsid w:val="00FD0500"/>
    <w:rsid w:val="00FD0763"/>
    <w:rsid w:val="00FD1212"/>
    <w:rsid w:val="00FD1E6A"/>
    <w:rsid w:val="00FD2029"/>
    <w:rsid w:val="00FD205B"/>
    <w:rsid w:val="00FD221F"/>
    <w:rsid w:val="00FD25AC"/>
    <w:rsid w:val="00FD2EBE"/>
    <w:rsid w:val="00FD3ABA"/>
    <w:rsid w:val="00FD3C76"/>
    <w:rsid w:val="00FD4013"/>
    <w:rsid w:val="00FD4266"/>
    <w:rsid w:val="00FD4288"/>
    <w:rsid w:val="00FD43D4"/>
    <w:rsid w:val="00FD49F9"/>
    <w:rsid w:val="00FD4D8B"/>
    <w:rsid w:val="00FD5002"/>
    <w:rsid w:val="00FD50B9"/>
    <w:rsid w:val="00FD511C"/>
    <w:rsid w:val="00FD52C9"/>
    <w:rsid w:val="00FD5380"/>
    <w:rsid w:val="00FD54EF"/>
    <w:rsid w:val="00FD54FD"/>
    <w:rsid w:val="00FD5AD4"/>
    <w:rsid w:val="00FD5B7A"/>
    <w:rsid w:val="00FD5BF5"/>
    <w:rsid w:val="00FD643F"/>
    <w:rsid w:val="00FD670C"/>
    <w:rsid w:val="00FD67D0"/>
    <w:rsid w:val="00FD6DF4"/>
    <w:rsid w:val="00FD71E6"/>
    <w:rsid w:val="00FD7803"/>
    <w:rsid w:val="00FD792C"/>
    <w:rsid w:val="00FD7EB1"/>
    <w:rsid w:val="00FE02D9"/>
    <w:rsid w:val="00FE05F3"/>
    <w:rsid w:val="00FE06A6"/>
    <w:rsid w:val="00FE06DF"/>
    <w:rsid w:val="00FE0B0A"/>
    <w:rsid w:val="00FE1BE5"/>
    <w:rsid w:val="00FE1BE8"/>
    <w:rsid w:val="00FE1BF1"/>
    <w:rsid w:val="00FE1C19"/>
    <w:rsid w:val="00FE1C50"/>
    <w:rsid w:val="00FE31E3"/>
    <w:rsid w:val="00FE3860"/>
    <w:rsid w:val="00FE3B66"/>
    <w:rsid w:val="00FE3FCE"/>
    <w:rsid w:val="00FE40AB"/>
    <w:rsid w:val="00FE4386"/>
    <w:rsid w:val="00FE472D"/>
    <w:rsid w:val="00FE4751"/>
    <w:rsid w:val="00FE48F3"/>
    <w:rsid w:val="00FE48FD"/>
    <w:rsid w:val="00FE4C99"/>
    <w:rsid w:val="00FE5772"/>
    <w:rsid w:val="00FE59FE"/>
    <w:rsid w:val="00FE5CDB"/>
    <w:rsid w:val="00FE5E08"/>
    <w:rsid w:val="00FE606C"/>
    <w:rsid w:val="00FE635F"/>
    <w:rsid w:val="00FE705E"/>
    <w:rsid w:val="00FE79AA"/>
    <w:rsid w:val="00FE79B0"/>
    <w:rsid w:val="00FE7EEC"/>
    <w:rsid w:val="00FF0094"/>
    <w:rsid w:val="00FF0BA8"/>
    <w:rsid w:val="00FF108D"/>
    <w:rsid w:val="00FF13BB"/>
    <w:rsid w:val="00FF15E7"/>
    <w:rsid w:val="00FF16DF"/>
    <w:rsid w:val="00FF1713"/>
    <w:rsid w:val="00FF18F4"/>
    <w:rsid w:val="00FF19E5"/>
    <w:rsid w:val="00FF1ED6"/>
    <w:rsid w:val="00FF2130"/>
    <w:rsid w:val="00FF23E2"/>
    <w:rsid w:val="00FF25CB"/>
    <w:rsid w:val="00FF27FB"/>
    <w:rsid w:val="00FF2986"/>
    <w:rsid w:val="00FF3073"/>
    <w:rsid w:val="00FF3BA4"/>
    <w:rsid w:val="00FF3E40"/>
    <w:rsid w:val="00FF4201"/>
    <w:rsid w:val="00FF455C"/>
    <w:rsid w:val="00FF540D"/>
    <w:rsid w:val="00FF56E5"/>
    <w:rsid w:val="00FF5A75"/>
    <w:rsid w:val="00FF5B0A"/>
    <w:rsid w:val="00FF5CC8"/>
    <w:rsid w:val="00FF5E11"/>
    <w:rsid w:val="00FF621B"/>
    <w:rsid w:val="00FF63C0"/>
    <w:rsid w:val="00FF6423"/>
    <w:rsid w:val="00FF6B8F"/>
    <w:rsid w:val="00FF6F9D"/>
    <w:rsid w:val="00FF7086"/>
    <w:rsid w:val="00FF7615"/>
    <w:rsid w:val="00FF77C6"/>
    <w:rsid w:val="00FF7BAD"/>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5:docId w15:val="{A3FB9E2C-8B62-4BF1-969A-E5D375222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ind w:right="29"/>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99"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GB"/>
    </w:rPr>
  </w:style>
  <w:style w:type="paragraph" w:styleId="Heading1">
    <w:name w:val="heading 1"/>
    <w:basedOn w:val="Normal"/>
    <w:next w:val="Normal"/>
    <w:link w:val="Heading1Char"/>
    <w:qFormat/>
    <w:rsid w:val="00450E1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F761F"/>
    <w:pPr>
      <w:tabs>
        <w:tab w:val="center" w:pos="4153"/>
        <w:tab w:val="right" w:pos="8306"/>
      </w:tabs>
    </w:pPr>
  </w:style>
  <w:style w:type="character" w:styleId="PageNumber">
    <w:name w:val="page number"/>
    <w:basedOn w:val="DefaultParagraphFont"/>
    <w:rsid w:val="001F761F"/>
  </w:style>
  <w:style w:type="character" w:styleId="FootnoteReference">
    <w:name w:val="footnote reference"/>
    <w:aliases w:val="*"/>
    <w:basedOn w:val="DefaultParagraphFont"/>
    <w:rsid w:val="00BE08B9"/>
    <w:rPr>
      <w:vertAlign w:val="superscript"/>
    </w:rPr>
  </w:style>
  <w:style w:type="paragraph" w:styleId="FootnoteText">
    <w:name w:val="footnote text"/>
    <w:aliases w:val="FT,fn"/>
    <w:basedOn w:val="Normal"/>
    <w:link w:val="FootnoteTextChar"/>
    <w:rsid w:val="00BE08B9"/>
    <w:pPr>
      <w:spacing w:after="120"/>
    </w:pPr>
    <w:rPr>
      <w:sz w:val="20"/>
      <w:lang w:eastAsia="en-US"/>
    </w:rPr>
  </w:style>
  <w:style w:type="paragraph" w:customStyle="1" w:styleId="BodyTextSingle">
    <w:name w:val="Body Text Single"/>
    <w:basedOn w:val="Normal"/>
    <w:rsid w:val="00BE08B9"/>
    <w:pPr>
      <w:spacing w:after="240"/>
      <w:ind w:firstLine="1440"/>
    </w:pPr>
    <w:rPr>
      <w:lang w:eastAsia="en-US"/>
    </w:rPr>
  </w:style>
  <w:style w:type="paragraph" w:styleId="Header">
    <w:name w:val="header"/>
    <w:basedOn w:val="Normal"/>
    <w:rsid w:val="006F49C8"/>
    <w:pPr>
      <w:tabs>
        <w:tab w:val="center" w:pos="4153"/>
        <w:tab w:val="right" w:pos="8306"/>
      </w:tabs>
    </w:pPr>
  </w:style>
  <w:style w:type="character" w:customStyle="1" w:styleId="WPBodyBoldSan">
    <w:name w:val="WP_Body Bold San"/>
    <w:rsid w:val="00C9113E"/>
    <w:rPr>
      <w:rFonts w:ascii="Frutiger-BoldCn" w:hAnsi="Frutiger-BoldCn"/>
      <w:b/>
      <w:spacing w:val="0"/>
      <w:w w:val="100"/>
      <w:sz w:val="19"/>
      <w:szCs w:val="19"/>
    </w:rPr>
  </w:style>
  <w:style w:type="table" w:styleId="TableGrid">
    <w:name w:val="Table Grid"/>
    <w:basedOn w:val="TableNormal"/>
    <w:rsid w:val="00185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Footnote">
    <w:name w:val="WP_Footnote"/>
    <w:basedOn w:val="Normal"/>
    <w:rsid w:val="00716202"/>
    <w:pPr>
      <w:widowControl w:val="0"/>
      <w:tabs>
        <w:tab w:val="left" w:pos="120"/>
      </w:tabs>
      <w:suppressAutoHyphens/>
      <w:autoSpaceDE w:val="0"/>
      <w:autoSpaceDN w:val="0"/>
      <w:adjustRightInd w:val="0"/>
      <w:spacing w:after="36" w:line="180" w:lineRule="atLeast"/>
      <w:textAlignment w:val="baseline"/>
    </w:pPr>
    <w:rPr>
      <w:rFonts w:ascii="Bembo-Italic" w:hAnsi="Bembo-Italic"/>
      <w:i/>
      <w:color w:val="000000"/>
      <w:sz w:val="16"/>
      <w:szCs w:val="16"/>
      <w:lang w:eastAsia="en-US"/>
    </w:rPr>
  </w:style>
  <w:style w:type="character" w:customStyle="1" w:styleId="WPBodyFootnote">
    <w:name w:val="WP_Body Footnote #"/>
    <w:basedOn w:val="DefaultParagraphFont"/>
    <w:rsid w:val="00716202"/>
    <w:rPr>
      <w:outline/>
      <w:color w:val="000000"/>
      <w:position w:val="2"/>
      <w:sz w:val="18"/>
      <w:szCs w:val="18"/>
      <w:vertAlign w:val="superscript"/>
      <w14:textOutline w14:w="9525">
        <w14:solidFill>
          <w14:srgbClr w14:val="000000"/>
        </w14:solidFill>
        <w14:round/>
      </w14:textOutline>
      <w14:textFill>
        <w14:noFill/>
      </w14:textFill>
    </w:rPr>
  </w:style>
  <w:style w:type="character" w:customStyle="1" w:styleId="WPDisplayItalic">
    <w:name w:val="WP_Display Italic"/>
    <w:rsid w:val="002E03E3"/>
    <w:rPr>
      <w:i/>
      <w:outline/>
      <w:color w:val="000000"/>
      <w14:textOutline w14:w="9525">
        <w14:solidFill>
          <w14:srgbClr w14:val="000000"/>
        </w14:solidFill>
        <w14:round/>
      </w14:textOutline>
      <w14:textFill>
        <w14:noFill/>
      </w14:textFill>
    </w:rPr>
  </w:style>
  <w:style w:type="character" w:styleId="Hyperlink">
    <w:name w:val="Hyperlink"/>
    <w:basedOn w:val="DefaultParagraphFont"/>
    <w:rsid w:val="00D25A41"/>
    <w:rPr>
      <w:color w:val="0000FF"/>
      <w:u w:val="single"/>
    </w:rPr>
  </w:style>
  <w:style w:type="character" w:customStyle="1" w:styleId="hit1">
    <w:name w:val="hit1"/>
    <w:basedOn w:val="DefaultParagraphFont"/>
    <w:rsid w:val="00D25A41"/>
    <w:rPr>
      <w:b/>
      <w:bCs/>
      <w:shd w:val="clear" w:color="auto" w:fill="CCCCCC"/>
    </w:rPr>
  </w:style>
  <w:style w:type="table" w:styleId="TableGrid5">
    <w:name w:val="Table Grid 5"/>
    <w:basedOn w:val="TableNormal"/>
    <w:uiPriority w:val="99"/>
    <w:rsid w:val="0017125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WPFootnotetext">
    <w:name w:val="WP_Footnote text"/>
    <w:basedOn w:val="WPFootnote"/>
    <w:rsid w:val="00046727"/>
  </w:style>
  <w:style w:type="paragraph" w:styleId="BalloonText">
    <w:name w:val="Balloon Text"/>
    <w:basedOn w:val="Normal"/>
    <w:semiHidden/>
    <w:rsid w:val="0088131A"/>
    <w:rPr>
      <w:rFonts w:ascii="Tahoma" w:hAnsi="Tahoma" w:cs="Tahoma"/>
      <w:sz w:val="16"/>
      <w:szCs w:val="16"/>
    </w:rPr>
  </w:style>
  <w:style w:type="paragraph" w:styleId="NormalWeb">
    <w:name w:val="Normal (Web)"/>
    <w:basedOn w:val="Normal"/>
    <w:uiPriority w:val="99"/>
    <w:rsid w:val="00FB659C"/>
  </w:style>
  <w:style w:type="paragraph" w:styleId="ListParagraph">
    <w:name w:val="List Paragraph"/>
    <w:basedOn w:val="Normal"/>
    <w:uiPriority w:val="34"/>
    <w:qFormat/>
    <w:rsid w:val="00677565"/>
    <w:pPr>
      <w:ind w:left="720"/>
      <w:contextualSpacing/>
    </w:pPr>
  </w:style>
  <w:style w:type="paragraph" w:styleId="EndnoteText">
    <w:name w:val="endnote text"/>
    <w:basedOn w:val="Normal"/>
    <w:link w:val="EndnoteTextChar"/>
    <w:rsid w:val="00D73150"/>
    <w:rPr>
      <w:sz w:val="20"/>
      <w:szCs w:val="20"/>
    </w:rPr>
  </w:style>
  <w:style w:type="character" w:customStyle="1" w:styleId="EndnoteTextChar">
    <w:name w:val="Endnote Text Char"/>
    <w:basedOn w:val="DefaultParagraphFont"/>
    <w:link w:val="EndnoteText"/>
    <w:rsid w:val="00D73150"/>
    <w:rPr>
      <w:lang w:eastAsia="en-GB"/>
    </w:rPr>
  </w:style>
  <w:style w:type="character" w:styleId="EndnoteReference">
    <w:name w:val="endnote reference"/>
    <w:basedOn w:val="DefaultParagraphFont"/>
    <w:uiPriority w:val="99"/>
    <w:rsid w:val="00D73150"/>
    <w:rPr>
      <w:vertAlign w:val="superscript"/>
    </w:rPr>
  </w:style>
  <w:style w:type="character" w:customStyle="1" w:styleId="FootnoteTextChar">
    <w:name w:val="Footnote Text Char"/>
    <w:aliases w:val="FT Char,fn Char"/>
    <w:basedOn w:val="DefaultParagraphFont"/>
    <w:link w:val="FootnoteText"/>
    <w:rsid w:val="00F40582"/>
    <w:rPr>
      <w:szCs w:val="24"/>
    </w:rPr>
  </w:style>
  <w:style w:type="paragraph" w:customStyle="1" w:styleId="OutlineL1">
    <w:name w:val="Outline_L1"/>
    <w:basedOn w:val="Normal"/>
    <w:next w:val="BodyText"/>
    <w:uiPriority w:val="99"/>
    <w:rsid w:val="00E320EC"/>
    <w:pPr>
      <w:numPr>
        <w:numId w:val="1"/>
      </w:numPr>
      <w:spacing w:after="240"/>
      <w:ind w:right="0"/>
      <w:jc w:val="left"/>
      <w:outlineLvl w:val="0"/>
    </w:pPr>
    <w:rPr>
      <w:szCs w:val="20"/>
      <w:lang w:eastAsia="en-US"/>
    </w:rPr>
  </w:style>
  <w:style w:type="paragraph" w:customStyle="1" w:styleId="OutlineL2">
    <w:name w:val="Outline_L2"/>
    <w:basedOn w:val="OutlineL1"/>
    <w:next w:val="BodyText"/>
    <w:uiPriority w:val="99"/>
    <w:rsid w:val="00E320EC"/>
    <w:pPr>
      <w:numPr>
        <w:ilvl w:val="1"/>
      </w:numPr>
      <w:outlineLvl w:val="1"/>
    </w:pPr>
  </w:style>
  <w:style w:type="paragraph" w:customStyle="1" w:styleId="OutlineL3">
    <w:name w:val="Outline_L3"/>
    <w:basedOn w:val="OutlineL2"/>
    <w:next w:val="BodyText"/>
    <w:uiPriority w:val="99"/>
    <w:rsid w:val="00E320EC"/>
    <w:pPr>
      <w:numPr>
        <w:ilvl w:val="2"/>
      </w:numPr>
      <w:outlineLvl w:val="2"/>
    </w:pPr>
  </w:style>
  <w:style w:type="paragraph" w:customStyle="1" w:styleId="OutlineL4">
    <w:name w:val="Outline_L4"/>
    <w:basedOn w:val="OutlineL3"/>
    <w:next w:val="BodyText"/>
    <w:uiPriority w:val="99"/>
    <w:rsid w:val="00E320EC"/>
    <w:pPr>
      <w:numPr>
        <w:ilvl w:val="3"/>
      </w:numPr>
      <w:outlineLvl w:val="3"/>
    </w:pPr>
  </w:style>
  <w:style w:type="paragraph" w:customStyle="1" w:styleId="OutlineL5">
    <w:name w:val="Outline_L5"/>
    <w:basedOn w:val="OutlineL4"/>
    <w:next w:val="BodyText"/>
    <w:uiPriority w:val="99"/>
    <w:rsid w:val="00E320EC"/>
    <w:pPr>
      <w:numPr>
        <w:ilvl w:val="4"/>
      </w:numPr>
      <w:outlineLvl w:val="4"/>
    </w:pPr>
  </w:style>
  <w:style w:type="paragraph" w:customStyle="1" w:styleId="OutlineL6">
    <w:name w:val="Outline_L6"/>
    <w:basedOn w:val="OutlineL5"/>
    <w:next w:val="BodyText"/>
    <w:uiPriority w:val="99"/>
    <w:rsid w:val="00E320EC"/>
    <w:pPr>
      <w:numPr>
        <w:ilvl w:val="5"/>
      </w:numPr>
      <w:outlineLvl w:val="5"/>
    </w:pPr>
  </w:style>
  <w:style w:type="paragraph" w:customStyle="1" w:styleId="OutlineL7">
    <w:name w:val="Outline_L7"/>
    <w:basedOn w:val="OutlineL6"/>
    <w:next w:val="BodyText"/>
    <w:uiPriority w:val="99"/>
    <w:rsid w:val="00E320EC"/>
    <w:pPr>
      <w:numPr>
        <w:ilvl w:val="6"/>
      </w:numPr>
      <w:outlineLvl w:val="6"/>
    </w:pPr>
  </w:style>
  <w:style w:type="paragraph" w:customStyle="1" w:styleId="OutlineL8">
    <w:name w:val="Outline_L8"/>
    <w:basedOn w:val="OutlineL7"/>
    <w:next w:val="BodyText"/>
    <w:uiPriority w:val="99"/>
    <w:rsid w:val="00E320EC"/>
    <w:pPr>
      <w:numPr>
        <w:ilvl w:val="7"/>
      </w:numPr>
      <w:outlineLvl w:val="7"/>
    </w:pPr>
  </w:style>
  <w:style w:type="paragraph" w:customStyle="1" w:styleId="OutlineL9">
    <w:name w:val="Outline_L9"/>
    <w:basedOn w:val="OutlineL8"/>
    <w:next w:val="BodyText"/>
    <w:uiPriority w:val="99"/>
    <w:rsid w:val="00E320EC"/>
    <w:pPr>
      <w:numPr>
        <w:ilvl w:val="8"/>
      </w:numPr>
      <w:outlineLvl w:val="8"/>
    </w:pPr>
  </w:style>
  <w:style w:type="paragraph" w:styleId="BodyText">
    <w:name w:val="Body Text"/>
    <w:basedOn w:val="Normal"/>
    <w:link w:val="BodyTextChar"/>
    <w:rsid w:val="00E320EC"/>
    <w:pPr>
      <w:spacing w:after="120"/>
    </w:pPr>
  </w:style>
  <w:style w:type="character" w:customStyle="1" w:styleId="BodyTextChar">
    <w:name w:val="Body Text Char"/>
    <w:basedOn w:val="DefaultParagraphFont"/>
    <w:link w:val="BodyText"/>
    <w:rsid w:val="00E320EC"/>
    <w:rPr>
      <w:sz w:val="24"/>
      <w:szCs w:val="24"/>
      <w:lang w:eastAsia="en-GB"/>
    </w:rPr>
  </w:style>
  <w:style w:type="paragraph" w:styleId="BodyTextIndent">
    <w:name w:val="Body Text Indent"/>
    <w:basedOn w:val="Normal"/>
    <w:link w:val="BodyTextIndentChar"/>
    <w:rsid w:val="00291BB8"/>
    <w:pPr>
      <w:spacing w:after="120"/>
      <w:ind w:left="360"/>
    </w:pPr>
  </w:style>
  <w:style w:type="character" w:customStyle="1" w:styleId="BodyTextIndentChar">
    <w:name w:val="Body Text Indent Char"/>
    <w:basedOn w:val="DefaultParagraphFont"/>
    <w:link w:val="BodyTextIndent"/>
    <w:rsid w:val="00291BB8"/>
    <w:rPr>
      <w:sz w:val="24"/>
      <w:szCs w:val="24"/>
      <w:lang w:eastAsia="en-GB"/>
    </w:rPr>
  </w:style>
  <w:style w:type="character" w:customStyle="1" w:styleId="Heading1Char">
    <w:name w:val="Heading 1 Char"/>
    <w:basedOn w:val="DefaultParagraphFont"/>
    <w:link w:val="Heading1"/>
    <w:rsid w:val="00450E12"/>
    <w:rPr>
      <w:rFonts w:asciiTheme="majorHAnsi" w:eastAsiaTheme="majorEastAsia" w:hAnsiTheme="majorHAnsi" w:cstheme="majorBidi"/>
      <w:b/>
      <w:bCs/>
      <w:color w:val="365F91" w:themeColor="accent1" w:themeShade="BF"/>
      <w:sz w:val="28"/>
      <w:szCs w:val="28"/>
      <w:lang w:eastAsia="en-GB"/>
    </w:rPr>
  </w:style>
  <w:style w:type="paragraph" w:customStyle="1" w:styleId="FS">
    <w:name w:val="FS"/>
    <w:aliases w:val="File Stamp"/>
    <w:basedOn w:val="Normal"/>
    <w:rsid w:val="00450E12"/>
    <w:pPr>
      <w:spacing w:before="360"/>
      <w:ind w:right="0"/>
      <w:jc w:val="left"/>
    </w:pPr>
    <w:rPr>
      <w:rFonts w:asciiTheme="minorHAnsi" w:hAnsiTheme="minorHAnsi"/>
      <w:sz w:val="16"/>
      <w:lang w:eastAsia="en-US"/>
    </w:rPr>
  </w:style>
  <w:style w:type="paragraph" w:customStyle="1" w:styleId="FSF">
    <w:name w:val="FSF"/>
    <w:aliases w:val="File Stamp Footer"/>
    <w:basedOn w:val="Normal"/>
    <w:rsid w:val="00450E12"/>
    <w:pPr>
      <w:ind w:right="0"/>
      <w:jc w:val="left"/>
    </w:pPr>
    <w:rPr>
      <w:rFonts w:asciiTheme="minorHAnsi" w:hAnsiTheme="minorHAnsi"/>
      <w:bCs/>
      <w:sz w:val="16"/>
      <w:lang w:eastAsia="en-US"/>
    </w:rPr>
  </w:style>
  <w:style w:type="character" w:customStyle="1" w:styleId="FooterChar">
    <w:name w:val="Footer Char"/>
    <w:basedOn w:val="DefaultParagraphFont"/>
    <w:link w:val="Footer"/>
    <w:uiPriority w:val="99"/>
    <w:rsid w:val="007071DF"/>
    <w:rPr>
      <w:sz w:val="24"/>
      <w:szCs w:val="24"/>
      <w:lang w:eastAsia="en-GB"/>
    </w:rPr>
  </w:style>
  <w:style w:type="table" w:styleId="LightShadingAccent1">
    <w:name w:val="Light Shading Accent 1"/>
    <w:basedOn w:val="TableNormal"/>
    <w:uiPriority w:val="60"/>
    <w:rsid w:val="0064451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64451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Grid2Accent1">
    <w:name w:val="Medium Grid 2 Accent 1"/>
    <w:basedOn w:val="TableNormal"/>
    <w:uiPriority w:val="68"/>
    <w:rsid w:val="00AC4A2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1Accent1">
    <w:name w:val="Medium Grid 1 Accent 1"/>
    <w:basedOn w:val="TableNormal"/>
    <w:uiPriority w:val="67"/>
    <w:rsid w:val="00AC4A2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CommentReference">
    <w:name w:val="annotation reference"/>
    <w:basedOn w:val="DefaultParagraphFont"/>
    <w:semiHidden/>
    <w:unhideWhenUsed/>
    <w:rsid w:val="00C71B83"/>
    <w:rPr>
      <w:sz w:val="16"/>
      <w:szCs w:val="16"/>
    </w:rPr>
  </w:style>
  <w:style w:type="paragraph" w:styleId="CommentText">
    <w:name w:val="annotation text"/>
    <w:basedOn w:val="Normal"/>
    <w:link w:val="CommentTextChar"/>
    <w:semiHidden/>
    <w:unhideWhenUsed/>
    <w:rsid w:val="00C71B83"/>
    <w:rPr>
      <w:sz w:val="20"/>
      <w:szCs w:val="20"/>
    </w:rPr>
  </w:style>
  <w:style w:type="character" w:customStyle="1" w:styleId="CommentTextChar">
    <w:name w:val="Comment Text Char"/>
    <w:basedOn w:val="DefaultParagraphFont"/>
    <w:link w:val="CommentText"/>
    <w:semiHidden/>
    <w:rsid w:val="00C71B83"/>
    <w:rPr>
      <w:lang w:eastAsia="en-GB"/>
    </w:rPr>
  </w:style>
  <w:style w:type="paragraph" w:styleId="CommentSubject">
    <w:name w:val="annotation subject"/>
    <w:basedOn w:val="CommentText"/>
    <w:next w:val="CommentText"/>
    <w:link w:val="CommentSubjectChar"/>
    <w:semiHidden/>
    <w:unhideWhenUsed/>
    <w:rsid w:val="00C71B83"/>
    <w:rPr>
      <w:b/>
      <w:bCs/>
    </w:rPr>
  </w:style>
  <w:style w:type="character" w:customStyle="1" w:styleId="CommentSubjectChar">
    <w:name w:val="Comment Subject Char"/>
    <w:basedOn w:val="CommentTextChar"/>
    <w:link w:val="CommentSubject"/>
    <w:semiHidden/>
    <w:rsid w:val="00C71B83"/>
    <w:rPr>
      <w:b/>
      <w:bCs/>
      <w:lang w:eastAsia="en-GB"/>
    </w:rPr>
  </w:style>
  <w:style w:type="character" w:styleId="PlaceholderText">
    <w:name w:val="Placeholder Text"/>
    <w:basedOn w:val="DefaultParagraphFont"/>
    <w:uiPriority w:val="99"/>
    <w:semiHidden/>
    <w:rsid w:val="0014324E"/>
    <w:rPr>
      <w:color w:val="808080"/>
    </w:rPr>
  </w:style>
  <w:style w:type="character" w:customStyle="1" w:styleId="toolicon">
    <w:name w:val="toolicon"/>
    <w:basedOn w:val="DefaultParagraphFont"/>
    <w:rsid w:val="002C5C0A"/>
  </w:style>
  <w:style w:type="character" w:customStyle="1" w:styleId="heading-enum">
    <w:name w:val="heading-enum"/>
    <w:basedOn w:val="DefaultParagraphFont"/>
    <w:rsid w:val="002C5C0A"/>
  </w:style>
  <w:style w:type="character" w:customStyle="1" w:styleId="UnresolvedMention">
    <w:name w:val="Unresolved Mention"/>
    <w:basedOn w:val="DefaultParagraphFont"/>
    <w:uiPriority w:val="99"/>
    <w:semiHidden/>
    <w:unhideWhenUsed/>
    <w:rsid w:val="00FF0094"/>
    <w:rPr>
      <w:color w:val="605E5C"/>
      <w:shd w:val="clear" w:color="auto" w:fill="E1DFDD"/>
    </w:rPr>
  </w:style>
  <w:style w:type="character" w:styleId="FollowedHyperlink">
    <w:name w:val="FollowedHyperlink"/>
    <w:basedOn w:val="DefaultParagraphFont"/>
    <w:semiHidden/>
    <w:unhideWhenUsed/>
    <w:rsid w:val="00723727"/>
    <w:rPr>
      <w:color w:val="800080" w:themeColor="followedHyperlink"/>
      <w:u w:val="single"/>
    </w:rPr>
  </w:style>
  <w:style w:type="table" w:styleId="GridTable4Accent1">
    <w:name w:val="Grid Table 4 Accent 1"/>
    <w:basedOn w:val="TableNormal"/>
    <w:uiPriority w:val="49"/>
    <w:rsid w:val="00270C8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99B59-8E7D-4C72-A52A-79127F3E0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4281</Words>
  <Characters>24406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I</vt:lpstr>
    </vt:vector>
  </TitlesOfParts>
  <Company/>
  <LinksUpToDate>false</LinksUpToDate>
  <CharactersWithSpaces>28630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cp:revision>1</cp:revision>
  <dcterms:created xsi:type="dcterms:W3CDTF">2025-10-08T21:44:51Z</dcterms:created>
  <dcterms:modified xsi:type="dcterms:W3CDTF">2025-10-08T21:44:51Z</dcterms:modified>
</cp:coreProperties>
</file>