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D40068" w:rsidRPr="005726C1" w:rsidP="005726C1" w14:paraId="64B0B55F" w14:textId="297658FC">
      <w:pPr>
        <w:pStyle w:val="ListParagraph"/>
        <w:numPr>
          <w:ilvl w:val="0"/>
          <w:numId w:val="1"/>
        </w:numPr>
        <w:contextualSpacing w:val="0"/>
        <w:jc w:val="center"/>
        <w:rPr>
          <w:b/>
          <w:bCs/>
        </w:rPr>
      </w:pPr>
      <w:r w:rsidRPr="005726C1">
        <w:rPr>
          <w:b/>
          <w:bCs/>
        </w:rPr>
        <w:t>Gift Tax Treatment of Trump Account</w:t>
      </w:r>
      <w:r w:rsidR="00DB1077">
        <w:rPr>
          <w:b/>
          <w:bCs/>
        </w:rPr>
        <w:t xml:space="preserve"> Contributions</w:t>
      </w:r>
    </w:p>
    <w:p w:rsidR="004504CB" w:rsidRPr="00BB236E" w:rsidP="00BB236E" w14:paraId="0CA7601E" w14:textId="544B8E5B">
      <w:pPr>
        <w:pStyle w:val="ListParagraph"/>
        <w:numPr>
          <w:ilvl w:val="0"/>
          <w:numId w:val="2"/>
        </w:numPr>
        <w:rPr>
          <w:b/>
          <w:bCs/>
        </w:rPr>
      </w:pPr>
      <w:r w:rsidRPr="00BB236E">
        <w:rPr>
          <w:b/>
          <w:bCs/>
        </w:rPr>
        <w:t>Backg</w:t>
      </w:r>
      <w:r w:rsidRPr="00BB236E" w:rsidR="00BC764F">
        <w:rPr>
          <w:b/>
          <w:bCs/>
        </w:rPr>
        <w:t>round</w:t>
      </w:r>
    </w:p>
    <w:p w:rsidR="00113B74" w14:paraId="244ECEB1" w14:textId="55B820DA">
      <w:r>
        <w:t>Enacted July 4, 2025, a</w:t>
      </w:r>
      <w:r w:rsidRPr="00664F12">
        <w:t>n act to provide for reconciliation pursuant to title II of H. Con. Res. 14.</w:t>
      </w:r>
      <w:r w:rsidR="00DB1077">
        <w:t xml:space="preserve"> (</w:t>
      </w:r>
      <w:r>
        <w:t xml:space="preserve">the </w:t>
      </w:r>
      <w:r w:rsidR="00DB1077">
        <w:t>“</w:t>
      </w:r>
      <w:r>
        <w:t>Act</w:t>
      </w:r>
      <w:r w:rsidR="00DB1077">
        <w:t>”)</w:t>
      </w:r>
      <w:r w:rsidR="0058542A">
        <w:t xml:space="preserve"> </w:t>
      </w:r>
      <w:r w:rsidR="004C1F8E">
        <w:t xml:space="preserve">provides for the creation of </w:t>
      </w:r>
      <w:r w:rsidR="0058542A">
        <w:t>“Trump accounts” to encourage saving for a child’s future.  The provisions relating to Trump accounts are in Internal Revenue Code section 530A.  Code section 530A is silent regarding the gift tax treatment of a contribution to a Trump account.</w:t>
      </w:r>
    </w:p>
    <w:p w:rsidR="00113B74" w:rsidRPr="00BB236E" w:rsidP="00BB236E" w14:paraId="3305FE74" w14:textId="078C71BC">
      <w:pPr>
        <w:pStyle w:val="ListParagraph"/>
        <w:numPr>
          <w:ilvl w:val="0"/>
          <w:numId w:val="2"/>
        </w:numPr>
        <w:rPr>
          <w:b/>
          <w:bCs/>
        </w:rPr>
      </w:pPr>
      <w:r w:rsidRPr="00BB236E">
        <w:rPr>
          <w:b/>
          <w:bCs/>
        </w:rPr>
        <w:t>Problem</w:t>
      </w:r>
    </w:p>
    <w:p w:rsidR="00113B74" w14:paraId="793BBE7A" w14:textId="3EBB82D4">
      <w:r>
        <w:t>Absent an exc</w:t>
      </w:r>
      <w:r w:rsidR="00CF2310">
        <w:t>lusion</w:t>
      </w:r>
      <w:r>
        <w:t>, a gift tax is imposed on the transfer of property by gift.  Code section</w:t>
      </w:r>
      <w:r w:rsidR="0018672B">
        <w:t> </w:t>
      </w:r>
      <w:r>
        <w:t xml:space="preserve">2501(a)(1).  </w:t>
      </w:r>
      <w:r w:rsidR="00CF2310">
        <w:t>Exclusions from such treatment are described in Code section 2503.  In particular</w:t>
      </w:r>
      <w:r w:rsidR="005F45B5">
        <w:t>,</w:t>
      </w:r>
      <w:r w:rsidR="00CF2310">
        <w:t xml:space="preserve"> Code section 2503(b) describes the annual exclusion, which is $10,000 </w:t>
      </w:r>
      <w:r w:rsidR="00BC764F">
        <w:t xml:space="preserve">per donor per donee </w:t>
      </w:r>
      <w:r w:rsidR="00CF2310">
        <w:t>as adjusted for inflation.  For gifts made in 2025, the annual exclusion is $19,000 per donor per donee.  The annual exclusion only applies to gifts that are gifts of “a present interest in property.”  Code section 2503(b)(1).</w:t>
      </w:r>
    </w:p>
    <w:p w:rsidR="00212369" w14:paraId="4757F565" w14:textId="1D1C99D0">
      <w:r>
        <w:t xml:space="preserve">When Congress created </w:t>
      </w:r>
      <w:r w:rsidR="00BC764F">
        <w:t>qualified tuition program accounts</w:t>
      </w:r>
      <w:r w:rsidR="008831E9">
        <w:t xml:space="preserve"> (“</w:t>
      </w:r>
      <w:r>
        <w:t>529 accounts</w:t>
      </w:r>
      <w:r w:rsidR="008831E9">
        <w:t>”)</w:t>
      </w:r>
      <w:r>
        <w:t xml:space="preserve"> to provide a savings mechanism for education, the authorizing statute included Code section 529(c)(2) describing the gift tax consequences of a gift to a 529 account.  Code section 529(c)(2)(A)(i) provides that a contribution to a </w:t>
      </w:r>
      <w:r w:rsidR="005F45B5">
        <w:t>529 acc</w:t>
      </w:r>
      <w:r>
        <w:t xml:space="preserve">ount on behalf of a designated beneficiary “shall be treated as a completed gift to such beneficiary which is not a future interest in property.”  This language qualifies </w:t>
      </w:r>
      <w:r w:rsidR="007319EA">
        <w:t>contributions to a 529 account for the annual exclusion from gift tax.</w:t>
      </w:r>
    </w:p>
    <w:p w:rsidR="007319EA" w14:paraId="77CAE934" w14:textId="49F884FC">
      <w:r>
        <w:t>The legislation enacting Trump accounts does not include similar language.  We believe that this was an oversight.  In the absence of specific language qualifying contributions to Trump accounts for the annual exclusion, such contributions would not so qualify</w:t>
      </w:r>
      <w:r w:rsidR="008831E9">
        <w:t xml:space="preserve"> because they are not gifts of a present interest in property</w:t>
      </w:r>
      <w:r>
        <w:t>.  As a result, any contribution to a Trump account will require the donor to file a federal gift tax return reporting the contribution and requiring the donor to either use a portion of his or her lifetime exemption to cover the contribution or (if the donor has no remaining lifetime exemption) pay gift tax.</w:t>
      </w:r>
    </w:p>
    <w:p w:rsidR="00D40068" w14:paraId="55D23BB8" w14:textId="3BBC9AAA">
      <w:r>
        <w:t xml:space="preserve">If a contribution to a Trump account were to qualify for the annual exclusion, such a gift would not trigger a gift tax return filing requirement pursuant to Code section 6019(a) (“Any individual who in any calendar year makes any transfer by gift other than ... (1) a transfer which under subsection (b) or (e) of section 2503 is not to be included in the total amount </w:t>
      </w:r>
      <w:r>
        <w:t>of gifts for such taxable year ... shall make a return for such year with respect to the gift tax imposed by subtitle B.”)</w:t>
      </w:r>
      <w:r w:rsidR="000F4DD8">
        <w:t>.</w:t>
      </w:r>
    </w:p>
    <w:p w:rsidR="00B05526" w:rsidRPr="00BB236E" w:rsidP="000A1A59" w14:paraId="21355596" w14:textId="4D5DBAFA">
      <w:pPr>
        <w:pStyle w:val="ListParagraph"/>
        <w:keepNext/>
        <w:numPr>
          <w:ilvl w:val="0"/>
          <w:numId w:val="2"/>
        </w:numPr>
        <w:contextualSpacing w:val="0"/>
        <w:rPr>
          <w:b/>
          <w:bCs/>
        </w:rPr>
      </w:pPr>
      <w:r w:rsidRPr="00BB236E">
        <w:rPr>
          <w:b/>
          <w:bCs/>
        </w:rPr>
        <w:t>Solution</w:t>
      </w:r>
    </w:p>
    <w:p w:rsidR="00E23481" w14:paraId="0A25FCEC" w14:textId="3424BFD1">
      <w:r>
        <w:t>Language similar to that in Code section 529(c)(2)(A)(i)</w:t>
      </w:r>
      <w:r w:rsidR="005F45B5">
        <w:t xml:space="preserve"> </w:t>
      </w:r>
      <w:r>
        <w:t>should be added to Code section</w:t>
      </w:r>
      <w:r w:rsidR="007F5182">
        <w:t> </w:t>
      </w:r>
      <w:r>
        <w:t xml:space="preserve">530A </w:t>
      </w:r>
      <w:r w:rsidR="005F45B5">
        <w:t xml:space="preserve">as a technical </w:t>
      </w:r>
      <w:r>
        <w:t xml:space="preserve">correction </w:t>
      </w:r>
      <w:r w:rsidR="005F45B5">
        <w:t>to</w:t>
      </w:r>
      <w:r>
        <w:t xml:space="preserve"> provide that </w:t>
      </w:r>
      <w:r w:rsidR="005F45B5">
        <w:t>contributions to Trump accounts “shall be treated as a completed gift to such beneficiary</w:t>
      </w:r>
      <w:r w:rsidR="00DB1077">
        <w:t>,</w:t>
      </w:r>
      <w:r w:rsidR="005F45B5">
        <w:t xml:space="preserve"> which is not a future interest in property.”</w:t>
      </w:r>
    </w:p>
    <w:p w:rsidR="00E23481" w14:paraId="5FE23448" w14:textId="6CCD6C48">
      <w:r>
        <w:t xml:space="preserve">Alternatively, </w:t>
      </w:r>
      <w:r w:rsidRPr="00DB1077">
        <w:t xml:space="preserve">the IRS and Treasury could </w:t>
      </w:r>
      <w:r>
        <w:t>issue</w:t>
      </w:r>
      <w:r w:rsidRPr="00DB1077">
        <w:t xml:space="preserve"> guidance under Code </w:t>
      </w:r>
      <w:r>
        <w:t xml:space="preserve">section 530A providing that </w:t>
      </w:r>
      <w:r w:rsidRPr="00DB1077">
        <w:t>contributions to Trump accounts “shall be treated as a completed gift to such beneficiary</w:t>
      </w:r>
      <w:r>
        <w:t>,</w:t>
      </w:r>
      <w:r w:rsidRPr="00DB1077">
        <w:t xml:space="preserve"> which is not a future interest in property.”</w:t>
      </w:r>
      <w:r>
        <w:t xml:space="preserve"> </w:t>
      </w:r>
      <w:r w:rsidR="0058542A">
        <w:br w:type="page"/>
      </w:r>
    </w:p>
    <w:p w:rsidR="00E23481" w:rsidRPr="000A1A59" w:rsidP="000A1A59" w14:paraId="03FCA5AC" w14:textId="411CDABA">
      <w:pPr>
        <w:pStyle w:val="ListParagraph"/>
        <w:numPr>
          <w:ilvl w:val="0"/>
          <w:numId w:val="1"/>
        </w:numPr>
        <w:contextualSpacing w:val="0"/>
        <w:jc w:val="center"/>
        <w:rPr>
          <w:b/>
          <w:bCs/>
        </w:rPr>
      </w:pPr>
      <w:r w:rsidRPr="000A1A59">
        <w:rPr>
          <w:b/>
          <w:bCs/>
        </w:rPr>
        <w:t>Section 68</w:t>
      </w:r>
      <w:r w:rsidR="00115EAF">
        <w:rPr>
          <w:b/>
          <w:bCs/>
        </w:rPr>
        <w:t xml:space="preserve"> </w:t>
      </w:r>
      <w:r w:rsidR="00DB1077">
        <w:rPr>
          <w:b/>
          <w:bCs/>
        </w:rPr>
        <w:t>L</w:t>
      </w:r>
      <w:r w:rsidR="00115EAF">
        <w:rPr>
          <w:b/>
          <w:bCs/>
        </w:rPr>
        <w:t>imitation on Itemized Deductions</w:t>
      </w:r>
    </w:p>
    <w:p w:rsidR="00E23481" w:rsidRPr="000A1A59" w:rsidP="000A1A59" w14:paraId="6EAF63CA" w14:textId="6CD9CAE9">
      <w:pPr>
        <w:pStyle w:val="ListParagraph"/>
        <w:numPr>
          <w:ilvl w:val="0"/>
          <w:numId w:val="3"/>
        </w:numPr>
        <w:rPr>
          <w:b/>
          <w:bCs/>
        </w:rPr>
      </w:pPr>
      <w:r w:rsidRPr="000A1A59">
        <w:rPr>
          <w:b/>
          <w:bCs/>
        </w:rPr>
        <w:t>Background</w:t>
      </w:r>
    </w:p>
    <w:p w:rsidR="00341EDD" w:rsidP="00341EDD" w14:paraId="6A551B62" w14:textId="796136B7">
      <w:r>
        <w:t xml:space="preserve">The operation of </w:t>
      </w:r>
      <w:r w:rsidR="00982FEA">
        <w:t xml:space="preserve">the </w:t>
      </w:r>
      <w:r>
        <w:t>former version of Code section 68, which imposed a limitation on the amount of certain itemized deductions allowed to taxpayers whose adjusted gross incomes exceeded certain levels</w:t>
      </w:r>
      <w:r w:rsidR="009C0E99">
        <w:t>,</w:t>
      </w:r>
      <w:r>
        <w:t xml:space="preserve"> was suspended by the 2017 Tax Cut and Jobs Act (the “TCJA”) for the years 2018 through 2025.  </w:t>
      </w:r>
      <w:r w:rsidR="000B5E11">
        <w:t xml:space="preserve">This limitation was commonly referred to as the “Pease” limitation.  </w:t>
      </w:r>
      <w:r w:rsidR="00D17F88">
        <w:t xml:space="preserve">The </w:t>
      </w:r>
      <w:r w:rsidR="00A76666">
        <w:t xml:space="preserve">former </w:t>
      </w:r>
      <w:r w:rsidR="00D17F88">
        <w:t xml:space="preserve">Pease limitation did not apply to estates and trusts.  </w:t>
      </w:r>
      <w:r w:rsidR="00716AF5">
        <w:t>The Act</w:t>
      </w:r>
      <w:r w:rsidR="0073154F">
        <w:t xml:space="preserve"> </w:t>
      </w:r>
      <w:r>
        <w:t xml:space="preserve">permitted the </w:t>
      </w:r>
      <w:r w:rsidR="002131DD">
        <w:t>suspension of</w:t>
      </w:r>
      <w:r w:rsidR="000B5E11">
        <w:t xml:space="preserve"> the Pease limitation </w:t>
      </w:r>
      <w:r>
        <w:t xml:space="preserve">to expire but </w:t>
      </w:r>
      <w:r w:rsidR="0073154F">
        <w:t>amended</w:t>
      </w:r>
      <w:r>
        <w:t xml:space="preserve"> </w:t>
      </w:r>
      <w:r w:rsidR="00B71634">
        <w:t xml:space="preserve">the section </w:t>
      </w:r>
      <w:r w:rsidR="0078361B">
        <w:t xml:space="preserve">in the following three </w:t>
      </w:r>
      <w:r w:rsidR="00B71634">
        <w:t xml:space="preserve">significant </w:t>
      </w:r>
      <w:r w:rsidR="0078361B">
        <w:t>ways:</w:t>
      </w:r>
    </w:p>
    <w:p w:rsidR="00B71634" w:rsidP="00B71634" w14:paraId="2F02C6E2" w14:textId="48193ED5">
      <w:pPr>
        <w:pStyle w:val="ListParagraph"/>
        <w:numPr>
          <w:ilvl w:val="0"/>
          <w:numId w:val="11"/>
        </w:numPr>
      </w:pPr>
      <w:r>
        <w:t xml:space="preserve">New </w:t>
      </w:r>
      <w:r w:rsidR="00341EDD">
        <w:t>Code section </w:t>
      </w:r>
      <w:r>
        <w:t>68 caps</w:t>
      </w:r>
      <w:r w:rsidR="00341EDD">
        <w:t xml:space="preserve"> the tax reducing value of the </w:t>
      </w:r>
      <w:r>
        <w:t xml:space="preserve">deductible </w:t>
      </w:r>
      <w:r w:rsidR="00341EDD">
        <w:t>itemized deductions</w:t>
      </w:r>
      <w:r w:rsidRPr="00A76666" w:rsidR="00A76666">
        <w:t xml:space="preserve"> </w:t>
      </w:r>
      <w:r w:rsidR="00A76666">
        <w:t>at 35%</w:t>
      </w:r>
      <w:r>
        <w:t>.</w:t>
      </w:r>
      <w:r w:rsidR="00341EDD">
        <w:t xml:space="preserve">  The</w:t>
      </w:r>
      <w:r>
        <w:t xml:space="preserve"> </w:t>
      </w:r>
      <w:r w:rsidR="00341EDD">
        <w:t xml:space="preserve">new version </w:t>
      </w:r>
      <w:r>
        <w:t xml:space="preserve">does this by </w:t>
      </w:r>
      <w:r w:rsidR="00341EDD">
        <w:t>requir</w:t>
      </w:r>
      <w:r>
        <w:t>ing a</w:t>
      </w:r>
      <w:r w:rsidR="00341EDD">
        <w:t xml:space="preserve"> taxpayer to reduce the amount </w:t>
      </w:r>
      <w:r>
        <w:t xml:space="preserve">of his or her </w:t>
      </w:r>
      <w:r w:rsidR="00341EDD">
        <w:t xml:space="preserve">itemized deductions by </w:t>
      </w:r>
      <w:r>
        <w:t xml:space="preserve">2/37ths of the lesser of (i) the amount of all of his or her itemized deductions or (ii) the excess of his or her taxable income, computed </w:t>
      </w:r>
      <w:r w:rsidR="000B5E11">
        <w:t xml:space="preserve">without reducing the taxpayer’s adjusted gross income by his or her itemized deductions, </w:t>
      </w:r>
      <w:r>
        <w:t>over the dollar amount at which the 37% tax bracket begins to apply.</w:t>
      </w:r>
    </w:p>
    <w:p w:rsidR="00A76666" w:rsidP="00A500EE" w14:paraId="322AC631" w14:textId="77777777">
      <w:pPr>
        <w:pStyle w:val="ListParagraph"/>
        <w:ind w:left="770"/>
      </w:pPr>
    </w:p>
    <w:p w:rsidR="00341EDD" w:rsidP="00B71634" w14:paraId="6BF9BF9C" w14:textId="772DC6A6">
      <w:pPr>
        <w:pStyle w:val="ListParagraph"/>
        <w:numPr>
          <w:ilvl w:val="0"/>
          <w:numId w:val="11"/>
        </w:numPr>
      </w:pPr>
      <w:r>
        <w:t>The limitation now applies to medical deductions, the deduction for investment interest, and the deduction for certain casualty or theft losses</w:t>
      </w:r>
      <w:r w:rsidR="00DD1136">
        <w:t>.  These deductions were</w:t>
      </w:r>
      <w:r>
        <w:t xml:space="preserve"> excluded from the former version of Code section </w:t>
      </w:r>
      <w:r w:rsidR="009C0E99">
        <w:t>68</w:t>
      </w:r>
      <w:r w:rsidR="00DB1077">
        <w:t>.</w:t>
      </w:r>
    </w:p>
    <w:p w:rsidR="00A76666" w:rsidP="00A500EE" w14:paraId="3D743AF0" w14:textId="77777777">
      <w:pPr>
        <w:pStyle w:val="ListParagraph"/>
        <w:ind w:left="770"/>
      </w:pPr>
    </w:p>
    <w:p w:rsidR="00341EDD" w:rsidP="00341EDD" w14:paraId="3C954587" w14:textId="262390BC">
      <w:pPr>
        <w:pStyle w:val="ListParagraph"/>
        <w:numPr>
          <w:ilvl w:val="0"/>
          <w:numId w:val="11"/>
        </w:numPr>
      </w:pPr>
      <w:r>
        <w:t>Estates and trusts are no longer excluded</w:t>
      </w:r>
      <w:r w:rsidR="00B71634">
        <w:t xml:space="preserve"> from </w:t>
      </w:r>
      <w:r w:rsidR="00DD1136">
        <w:t>the operation of Code section 68</w:t>
      </w:r>
      <w:r w:rsidR="00DB25F6">
        <w:t>.</w:t>
      </w:r>
    </w:p>
    <w:p w:rsidR="00DB1077" w:rsidP="00A500EE" w14:paraId="42D73645" w14:textId="77777777">
      <w:pPr>
        <w:pStyle w:val="ListParagraph"/>
        <w:ind w:left="770"/>
      </w:pPr>
    </w:p>
    <w:p w:rsidR="00E23481" w:rsidRPr="00341EDD" w:rsidP="00341EDD" w14:paraId="24641501" w14:textId="610A5AE1">
      <w:pPr>
        <w:pStyle w:val="ListParagraph"/>
        <w:numPr>
          <w:ilvl w:val="0"/>
          <w:numId w:val="3"/>
        </w:numPr>
        <w:rPr>
          <w:b/>
          <w:bCs/>
        </w:rPr>
      </w:pPr>
      <w:r w:rsidRPr="00341EDD">
        <w:rPr>
          <w:b/>
          <w:bCs/>
        </w:rPr>
        <w:t>Problem</w:t>
      </w:r>
      <w:r w:rsidRPr="00341EDD" w:rsidR="0073154F">
        <w:rPr>
          <w:b/>
          <w:bCs/>
        </w:rPr>
        <w:t>s</w:t>
      </w:r>
      <w:r w:rsidRPr="00341EDD" w:rsidR="006A7C11">
        <w:rPr>
          <w:b/>
          <w:bCs/>
        </w:rPr>
        <w:t xml:space="preserve"> </w:t>
      </w:r>
    </w:p>
    <w:p w:rsidR="00A76666" w:rsidP="00E23481" w14:paraId="54E79AD5" w14:textId="420AAC43">
      <w:r>
        <w:t>N</w:t>
      </w:r>
      <w:r>
        <w:t>ew Code section 68</w:t>
      </w:r>
      <w:r>
        <w:t xml:space="preserve"> has</w:t>
      </w:r>
      <w:r w:rsidRPr="00A500EE">
        <w:t xml:space="preserve"> </w:t>
      </w:r>
      <w:r>
        <w:t>two main problems</w:t>
      </w:r>
      <w:r>
        <w:t>:</w:t>
      </w:r>
    </w:p>
    <w:p w:rsidR="00A76666" w:rsidP="00E23481" w14:paraId="18631BA4" w14:textId="62357045">
      <w:pPr>
        <w:pStyle w:val="ListParagraph"/>
        <w:numPr>
          <w:ilvl w:val="0"/>
          <w:numId w:val="15"/>
        </w:numPr>
      </w:pPr>
      <w:r>
        <w:t>The</w:t>
      </w:r>
      <w:r w:rsidR="00C76B3C">
        <w:t xml:space="preserve"> </w:t>
      </w:r>
      <w:r>
        <w:t xml:space="preserve">new </w:t>
      </w:r>
      <w:r w:rsidR="0058542A">
        <w:t>2/37</w:t>
      </w:r>
      <w:r w:rsidR="003868FB">
        <w:t xml:space="preserve"> reduction</w:t>
      </w:r>
      <w:r w:rsidR="00C76B3C">
        <w:t xml:space="preserve"> is not limited to </w:t>
      </w:r>
      <w:r w:rsidR="00B71634">
        <w:t>taxpayers who have income that is subject to a 37% tax</w:t>
      </w:r>
      <w:r>
        <w:t>—for instance, it could be long-term capital gains or qualified dividends taxed at 20%</w:t>
      </w:r>
      <w:r w:rsidR="00B71634">
        <w:t>.  Th</w:t>
      </w:r>
      <w:r w:rsidR="00937030">
        <w:t xml:space="preserve">e application of Code section 68 to these taxpayers </w:t>
      </w:r>
      <w:r w:rsidR="00D663C6">
        <w:t>appears inconsistent with the legislation’s stated intent</w:t>
      </w:r>
      <w:r>
        <w:t>.</w:t>
      </w:r>
    </w:p>
    <w:p w:rsidR="00A76666" w:rsidP="00A500EE" w14:paraId="37EE5739" w14:textId="77777777">
      <w:pPr>
        <w:pStyle w:val="ListParagraph"/>
        <w:ind w:left="770"/>
      </w:pPr>
    </w:p>
    <w:p w:rsidR="00D663C6" w:rsidP="00A500EE" w14:paraId="570E877D" w14:textId="72EA2D99">
      <w:pPr>
        <w:pStyle w:val="ListParagraph"/>
        <w:numPr>
          <w:ilvl w:val="0"/>
          <w:numId w:val="15"/>
        </w:numPr>
      </w:pPr>
      <w:r>
        <w:t>The extension of Code section 68 to</w:t>
      </w:r>
      <w:r w:rsidR="00C67F53">
        <w:t xml:space="preserve"> estates and trusts</w:t>
      </w:r>
      <w:r w:rsidR="000E59A4">
        <w:t xml:space="preserve"> </w:t>
      </w:r>
      <w:r w:rsidR="00106AE0">
        <w:t xml:space="preserve">may </w:t>
      </w:r>
      <w:r>
        <w:t xml:space="preserve">result in the </w:t>
      </w:r>
      <w:r w:rsidR="00106AE0">
        <w:t>disallow</w:t>
      </w:r>
      <w:r>
        <w:t>ance of</w:t>
      </w:r>
      <w:r w:rsidR="00106AE0">
        <w:t xml:space="preserve"> deductions </w:t>
      </w:r>
      <w:r w:rsidR="00A76666">
        <w:t xml:space="preserve">that are </w:t>
      </w:r>
      <w:r w:rsidR="00106AE0">
        <w:t xml:space="preserve">unique to estates and trusts </w:t>
      </w:r>
      <w:r w:rsidR="00A76666">
        <w:t>and</w:t>
      </w:r>
      <w:r w:rsidR="00376830">
        <w:t xml:space="preserve"> that</w:t>
      </w:r>
      <w:r w:rsidR="00A76666">
        <w:t xml:space="preserve"> don’t apply to individuals</w:t>
      </w:r>
      <w:r w:rsidR="004C0715">
        <w:t>.</w:t>
      </w:r>
      <w:r w:rsidRPr="004C0715" w:rsidR="004C0715">
        <w:t xml:space="preserve"> </w:t>
      </w:r>
      <w:r w:rsidR="004C0715">
        <w:t>Section 68 applies to individuals and section 641(b) taxes estate and trusts as individuals “</w:t>
      </w:r>
      <w:r w:rsidRPr="001B55F9" w:rsidR="004C0715">
        <w:rPr>
          <w:b/>
          <w:bCs/>
          <w:i/>
          <w:iCs/>
        </w:rPr>
        <w:t xml:space="preserve">except as otherwise provided in this </w:t>
      </w:r>
      <w:r w:rsidRPr="001B55F9" w:rsidR="004C0715">
        <w:rPr>
          <w:b/>
          <w:bCs/>
          <w:i/>
          <w:iCs/>
        </w:rPr>
        <w:t>part</w:t>
      </w:r>
      <w:r w:rsidR="004C0715">
        <w:t>.</w:t>
      </w:r>
      <w:r w:rsidR="004C0715">
        <w:t xml:space="preserve">”  Some </w:t>
      </w:r>
      <w:r w:rsidR="004C0715">
        <w:t>provisions of part 1 of Subchapter J, such as sections 651, 661 and 642(c), although called “deductions” are more in the nature of allocations of income to beneficial owners, particularly where distributions are mandated (such as in the case of the termination of an estate or trust or a charitable lead trust that is required to distribute income to charity).  Similarly,</w:t>
      </w:r>
      <w:r>
        <w:t xml:space="preserve"> the deduction for the administration expenses of estates and estates that are not </w:t>
      </w:r>
      <w:r w:rsidR="00A76666">
        <w:t xml:space="preserve">commonly or customarily </w:t>
      </w:r>
      <w:r>
        <w:t>incurred by individual</w:t>
      </w:r>
      <w:r w:rsidR="00D73309">
        <w:t>s</w:t>
      </w:r>
      <w:r w:rsidRPr="004C0715" w:rsidR="004C0715">
        <w:t xml:space="preserve"> </w:t>
      </w:r>
      <w:r w:rsidR="004C0715">
        <w:t>is particular to the calculation of income of a trust or estate and expressly inapplicable to individuals</w:t>
      </w:r>
      <w:r w:rsidR="007D1EEA">
        <w:t>.</w:t>
      </w:r>
      <w:r w:rsidR="000B346E">
        <w:t xml:space="preserve">  </w:t>
      </w:r>
      <w:r w:rsidR="006E762F">
        <w:t>In some cases</w:t>
      </w:r>
      <w:r w:rsidR="00673A6D">
        <w:t xml:space="preserve">, </w:t>
      </w:r>
      <w:r w:rsidR="004C0715">
        <w:t>applying</w:t>
      </w:r>
      <w:r w:rsidR="00673A6D">
        <w:t xml:space="preserve"> Code section </w:t>
      </w:r>
      <w:r w:rsidR="00FF53DE">
        <w:t xml:space="preserve">68 </w:t>
      </w:r>
      <w:r w:rsidR="00673A6D">
        <w:t>to estates and trusts</w:t>
      </w:r>
      <w:r w:rsidR="006E762F">
        <w:t xml:space="preserve"> may cause double taxation.</w:t>
      </w:r>
    </w:p>
    <w:p w:rsidR="00F87CF2" w:rsidP="00E23481" w14:paraId="543EF6A0" w14:textId="2A197001">
      <w:r>
        <w:t xml:space="preserve">Each of these issues is discussed below together with possible solutions. </w:t>
      </w:r>
    </w:p>
    <w:p w:rsidR="00931C65" w:rsidP="005F3D8E" w14:paraId="394DB454" w14:textId="2CEAAB09">
      <w:pPr>
        <w:pStyle w:val="ListParagraph"/>
        <w:keepNext/>
        <w:contextualSpacing w:val="0"/>
      </w:pPr>
      <w:r>
        <w:rPr>
          <w:b/>
          <w:bCs/>
        </w:rPr>
        <w:t>C.  Application to Taxpayers Whose Income Is Not Taxed at 37%</w:t>
      </w:r>
    </w:p>
    <w:p w:rsidR="003B2964" w:rsidRPr="007965F4" w:rsidP="003B2964" w14:paraId="7395DEE8" w14:textId="5BC968D1">
      <w:pPr>
        <w:pStyle w:val="ListParagraph"/>
        <w:keepNext/>
        <w:numPr>
          <w:ilvl w:val="0"/>
          <w:numId w:val="12"/>
        </w:numPr>
        <w:rPr>
          <w:i/>
          <w:iCs/>
        </w:rPr>
      </w:pPr>
      <w:r w:rsidRPr="007965F4">
        <w:rPr>
          <w:i/>
          <w:iCs/>
        </w:rPr>
        <w:t>The Problem</w:t>
      </w:r>
    </w:p>
    <w:p w:rsidR="003B2964" w:rsidP="003B2964" w14:paraId="5B978BFB" w14:textId="77777777">
      <w:pPr>
        <w:pStyle w:val="ListParagraph"/>
        <w:keepNext/>
      </w:pPr>
    </w:p>
    <w:p w:rsidR="00931C65" w:rsidP="007965F4" w14:paraId="600CCDAE" w14:textId="65071402">
      <w:pPr>
        <w:pStyle w:val="ListParagraph"/>
        <w:keepNext/>
      </w:pPr>
      <w:r>
        <w:t>Code</w:t>
      </w:r>
      <w:r w:rsidR="00DE4455">
        <w:t xml:space="preserve"> section 68(a), “</w:t>
      </w:r>
      <w:r w:rsidRPr="00DE4455" w:rsidR="00DE4455">
        <w:t>In general</w:t>
      </w:r>
      <w:r w:rsidR="00DE4455">
        <w:t>,” provides:</w:t>
      </w:r>
    </w:p>
    <w:p w:rsidR="004A53C6" w:rsidRPr="004A53C6" w:rsidP="0036120D" w14:paraId="64893930" w14:textId="2D3C9F1B">
      <w:pPr>
        <w:ind w:left="360"/>
      </w:pPr>
      <w:r w:rsidRPr="004A53C6">
        <w:t>In the case of an individual, the amount of the itemized deductions otherwise allowable for the taxable year (determined without regard to this section) shall be reduced by 2/37 of the lesser of</w:t>
      </w:r>
      <w:r w:rsidR="00C47B9F">
        <w:t> -</w:t>
      </w:r>
    </w:p>
    <w:p w:rsidR="004A53C6" w:rsidRPr="004A53C6" w:rsidP="0036120D" w14:paraId="7F63E48A" w14:textId="77777777">
      <w:pPr>
        <w:ind w:left="720" w:hanging="360"/>
      </w:pPr>
      <w:r w:rsidRPr="004A53C6">
        <w:t>(1)</w:t>
      </w:r>
      <w:r w:rsidRPr="004A53C6">
        <w:tab/>
        <w:t>such amount of itemized deductions, or</w:t>
      </w:r>
    </w:p>
    <w:p w:rsidR="004A53C6" w:rsidRPr="004A53C6" w:rsidP="0036120D" w14:paraId="364376DF" w14:textId="389DFA83">
      <w:pPr>
        <w:ind w:left="720" w:hanging="360"/>
      </w:pPr>
      <w:r w:rsidRPr="004A53C6">
        <w:t>(2)</w:t>
      </w:r>
      <w:r w:rsidRPr="004A53C6">
        <w:tab/>
        <w:t>so much of the taxable income of the taxpayer for the taxable year (determined without regard to this section and increased by such amount of itemized deductions) as exceeds the dollar amount at which the 37 percent rate bracket under section 1 begins with respect to the taxpayer.</w:t>
      </w:r>
    </w:p>
    <w:p w:rsidR="00931C65" w:rsidP="00E23481" w14:paraId="1205B888" w14:textId="116AFD80">
      <w:r>
        <w:t>Code</w:t>
      </w:r>
      <w:r w:rsidR="00ED6752">
        <w:t xml:space="preserve"> section</w:t>
      </w:r>
      <w:r>
        <w:t> 1(h</w:t>
      </w:r>
      <w:r w:rsidR="006A537E">
        <w:t>) provides</w:t>
      </w:r>
      <w:r w:rsidR="00297144">
        <w:t xml:space="preserve"> that</w:t>
      </w:r>
      <w:r w:rsidR="005F3D8E">
        <w:t xml:space="preserve"> </w:t>
      </w:r>
      <w:r w:rsidR="0049798F">
        <w:t xml:space="preserve">a </w:t>
      </w:r>
      <w:r w:rsidR="00825238">
        <w:t>taxpayer’s “adjusted</w:t>
      </w:r>
      <w:r w:rsidR="005F3D8E">
        <w:t xml:space="preserve"> </w:t>
      </w:r>
      <w:r w:rsidR="00550ADD">
        <w:t xml:space="preserve">net </w:t>
      </w:r>
      <w:r w:rsidR="00297144">
        <w:t>capital gain</w:t>
      </w:r>
      <w:r w:rsidR="000B5E11">
        <w:t>,</w:t>
      </w:r>
      <w:r w:rsidR="00090E3B">
        <w:t>”</w:t>
      </w:r>
      <w:r w:rsidR="00550ADD">
        <w:t xml:space="preserve"> </w:t>
      </w:r>
      <w:r w:rsidR="000B5E11">
        <w:t xml:space="preserve">which is defined to include qualified dividend income, </w:t>
      </w:r>
      <w:r w:rsidR="00550ADD">
        <w:t>is taxed at various rates</w:t>
      </w:r>
      <w:r w:rsidR="00975308">
        <w:t xml:space="preserve">, </w:t>
      </w:r>
      <w:r w:rsidR="000B5E11">
        <w:t>from 20%</w:t>
      </w:r>
      <w:r w:rsidR="00975308">
        <w:t xml:space="preserve"> to 28%</w:t>
      </w:r>
      <w:r w:rsidR="0049798F">
        <w:t>.</w:t>
      </w:r>
    </w:p>
    <w:p w:rsidR="00343411" w:rsidP="00343411" w14:paraId="5D028CA0" w14:textId="3AEF5175">
      <w:r>
        <w:t>The Staff of the Joint Committee on Taxation summarized the proposed</w:t>
      </w:r>
      <w:r w:rsidR="0094794A">
        <w:t xml:space="preserve"> new Code section</w:t>
      </w:r>
      <w:r w:rsidR="000908A6">
        <w:t> </w:t>
      </w:r>
      <w:r w:rsidR="0094794A">
        <w:t>68</w:t>
      </w:r>
      <w:r w:rsidR="000908A6">
        <w:t xml:space="preserve"> </w:t>
      </w:r>
      <w:r>
        <w:t>in JCX-21-25 (May 12, 2025):</w:t>
      </w:r>
    </w:p>
    <w:p w:rsidR="00343411" w:rsidP="00343411" w14:paraId="45D9CB8A" w14:textId="77777777">
      <w:pPr>
        <w:ind w:left="360"/>
      </w:pPr>
      <w:r>
        <w:t xml:space="preserve">This provision permanently repeals the Pease limitation and replaces it with a new overall limitation on the tax benefit of itemized deductions, applicable to individuals, estates, and trusts. For a taxpayer with taxable income that, before reduction for itemized deductions, exceeds the dollar amount at which the 37-percent tax rate bracket begins, this provision generally caps the tax-reducing value of each dollar of </w:t>
      </w:r>
      <w:r>
        <w:t>otherwise allowable itemized deductions at 35 cents. This new limitation is effective for taxable years beginning after December 31, 2025.</w:t>
      </w:r>
    </w:p>
    <w:p w:rsidR="00343411" w:rsidP="00343411" w14:paraId="4F6238CF" w14:textId="1CE43C72">
      <w:r>
        <w:t>The Senate Finance Committee</w:t>
      </w:r>
      <w:r w:rsidR="0053284D">
        <w:t>’s</w:t>
      </w:r>
      <w:r>
        <w:t xml:space="preserve"> summary released after </w:t>
      </w:r>
      <w:r w:rsidR="00716AF5">
        <w:t>the Act</w:t>
      </w:r>
      <w:r w:rsidR="008B40FD">
        <w:t xml:space="preserve"> </w:t>
      </w:r>
      <w:r>
        <w:t>was enacted states:</w:t>
      </w:r>
    </w:p>
    <w:p w:rsidR="00D74519" w:rsidP="00343411" w14:paraId="20A14E7D" w14:textId="1470F9FC">
      <w:pPr>
        <w:ind w:left="360"/>
      </w:pPr>
      <w:r>
        <w:t>This provision permanently repeals the Pease limitation and replaces it with a new overall limitation on the tax benefit of itemized deductions, applicable to individuals, estates, and trusts. For a taxpayer with taxable income that, before reduction for itemized deductions, exceeds the dollar amount at which the 37-percent tax rate bracket begins, this provision generally caps the tax-reducing value of each dollar of otherwise allowable itemized deductions at 35 cents. This new limitation is effective for taxable years beginning after December 31, 2025.</w:t>
      </w:r>
    </w:p>
    <w:p w:rsidR="00CC522C" w:rsidRPr="003B2964" w:rsidP="003B2964" w14:paraId="16A84BD5" w14:textId="72D5833C">
      <w:pPr>
        <w:pStyle w:val="ListParagraph"/>
        <w:keepNext/>
        <w:numPr>
          <w:ilvl w:val="0"/>
          <w:numId w:val="12"/>
        </w:numPr>
        <w:rPr>
          <w:i/>
          <w:iCs/>
        </w:rPr>
      </w:pPr>
      <w:r w:rsidRPr="003B2964">
        <w:rPr>
          <w:i/>
          <w:iCs/>
        </w:rPr>
        <w:t>Possible Solution</w:t>
      </w:r>
    </w:p>
    <w:p w:rsidR="000B5E11" w:rsidP="00E23481" w14:paraId="0EDB48CE" w14:textId="1EA322BC">
      <w:r>
        <w:t xml:space="preserve">If Congress did not intend the Code Section 68 limitation to apply to income not taxed at the 37% rate, </w:t>
      </w:r>
      <w:r w:rsidR="007B45C4">
        <w:t xml:space="preserve">it could consider </w:t>
      </w:r>
      <w:r>
        <w:t>a technical amendment</w:t>
      </w:r>
      <w:r w:rsidR="007B45C4">
        <w:t xml:space="preserve"> to </w:t>
      </w:r>
      <w:r w:rsidR="00ED6752">
        <w:t>Code</w:t>
      </w:r>
      <w:r w:rsidR="00B54A62">
        <w:t xml:space="preserve"> section</w:t>
      </w:r>
      <w:r w:rsidR="00AD4235">
        <w:t> </w:t>
      </w:r>
      <w:r w:rsidR="00B54A62">
        <w:t>68(a)(2)</w:t>
      </w:r>
      <w:r w:rsidR="008C3841">
        <w:t xml:space="preserve"> </w:t>
      </w:r>
      <w:r w:rsidR="00243BE1">
        <w:t xml:space="preserve">that would </w:t>
      </w:r>
      <w:r w:rsidR="008C3841">
        <w:t>read as follows:</w:t>
      </w:r>
    </w:p>
    <w:p w:rsidR="00F04C3B" w:rsidP="00A500EE" w14:paraId="678E4804" w14:textId="6EE284CD">
      <w:pPr>
        <w:ind w:left="360"/>
      </w:pPr>
      <w:r>
        <w:t>“(2) so much of the taxable income of the taxpayer for the taxable year</w:t>
      </w:r>
      <w:r w:rsidR="008C3841">
        <w:t xml:space="preserve"> (determined without regard to this section and increased by such amount of itemized deductions) reduced by the amount of the taxpayer’s income subject to tax </w:t>
      </w:r>
      <w:r w:rsidR="00D31179">
        <w:t>under section 1(h)”.</w:t>
      </w:r>
    </w:p>
    <w:p w:rsidR="00AD4235" w:rsidP="00E23481" w14:paraId="5D9A5502" w14:textId="696C4EA6">
      <w:r>
        <w:t xml:space="preserve">Alternatively, the IRS and Treasury could </w:t>
      </w:r>
      <w:r w:rsidR="008C3841">
        <w:t xml:space="preserve">consider </w:t>
      </w:r>
      <w:r>
        <w:t>issu</w:t>
      </w:r>
      <w:r w:rsidR="008C3841">
        <w:t>ing</w:t>
      </w:r>
      <w:r>
        <w:t xml:space="preserve"> guidance clarifying how </w:t>
      </w:r>
      <w:r w:rsidR="00A62D71">
        <w:t xml:space="preserve">Code section 68(a)(2) </w:t>
      </w:r>
      <w:r w:rsidR="008C3841">
        <w:t xml:space="preserve">should be </w:t>
      </w:r>
      <w:r w:rsidR="00A62D71">
        <w:t>applie</w:t>
      </w:r>
      <w:r w:rsidR="008C3841">
        <w:t>d</w:t>
      </w:r>
      <w:r w:rsidR="00A62D71">
        <w:t xml:space="preserve"> in the context of Code section 1(h), </w:t>
      </w:r>
      <w:r w:rsidR="009F7985">
        <w:t>considering</w:t>
      </w:r>
      <w:r w:rsidR="008C3841">
        <w:t xml:space="preserve"> the apparent legislative intent as described </w:t>
      </w:r>
      <w:r w:rsidR="009F7985">
        <w:t xml:space="preserve">in </w:t>
      </w:r>
      <w:r w:rsidR="0053284D">
        <w:t>JCX-21-25 and the Senate Finance Committee’s summary.</w:t>
      </w:r>
    </w:p>
    <w:p w:rsidR="006D5BCD" w:rsidP="0074468E" w14:paraId="46B25200" w14:textId="28BDD370">
      <w:pPr>
        <w:pStyle w:val="ListParagraph"/>
      </w:pPr>
      <w:r>
        <w:rPr>
          <w:b/>
          <w:bCs/>
        </w:rPr>
        <w:t xml:space="preserve">D.  </w:t>
      </w:r>
      <w:r w:rsidR="006F3AAA">
        <w:rPr>
          <w:b/>
          <w:bCs/>
        </w:rPr>
        <w:t>Overbroad</w:t>
      </w:r>
      <w:r w:rsidR="00A76666">
        <w:rPr>
          <w:b/>
          <w:bCs/>
        </w:rPr>
        <w:t xml:space="preserve"> </w:t>
      </w:r>
      <w:r>
        <w:rPr>
          <w:b/>
          <w:bCs/>
        </w:rPr>
        <w:t>Application to Estates and Trusts</w:t>
      </w:r>
    </w:p>
    <w:p w:rsidR="00376830" w:rsidRPr="00A500EE" w:rsidP="00376830" w14:paraId="522963DC" w14:textId="77777777">
      <w:pPr>
        <w:ind w:firstLine="720"/>
        <w:rPr>
          <w:i/>
          <w:iCs/>
        </w:rPr>
      </w:pPr>
      <w:r w:rsidRPr="00A500EE">
        <w:rPr>
          <w:i/>
          <w:iCs/>
        </w:rPr>
        <w:t>1. The Problem</w:t>
      </w:r>
    </w:p>
    <w:p w:rsidR="00376830" w:rsidP="00A500EE" w14:paraId="608E0FAD" w14:textId="5944EF77">
      <w:r>
        <w:t>Like</w:t>
      </w:r>
      <w:r w:rsidR="00504F63">
        <w:t xml:space="preserve"> former Code section 68, new </w:t>
      </w:r>
      <w:r w:rsidR="006F3AAA">
        <w:t xml:space="preserve">Code section 68 specifically applies </w:t>
      </w:r>
      <w:r w:rsidR="00504F63">
        <w:t>only</w:t>
      </w:r>
      <w:r w:rsidR="006F3AAA">
        <w:t xml:space="preserve"> “In the case of an individual.” </w:t>
      </w:r>
      <w:r w:rsidR="009F7985">
        <w:t xml:space="preserve">While </w:t>
      </w:r>
      <w:r w:rsidR="00504F63">
        <w:t>f</w:t>
      </w:r>
      <w:r w:rsidR="006F3AAA">
        <w:t xml:space="preserve">ormer Code section 68(e) provided a special exception for estates and trusts, </w:t>
      </w:r>
      <w:r w:rsidR="009F7985">
        <w:t>that section</w:t>
      </w:r>
      <w:r w:rsidR="006F3AAA">
        <w:t xml:space="preserve"> was repealed by </w:t>
      </w:r>
      <w:r w:rsidR="00716AF5">
        <w:t>the Act</w:t>
      </w:r>
      <w:r w:rsidR="006F3AAA">
        <w:t xml:space="preserve">. </w:t>
      </w:r>
      <w:r w:rsidR="009F7985">
        <w:t>Accordingly, w</w:t>
      </w:r>
      <w:r w:rsidR="00504F63">
        <w:t>ithout such an exception</w:t>
      </w:r>
      <w:r w:rsidR="006F3AAA">
        <w:t xml:space="preserve">, </w:t>
      </w:r>
      <w:r w:rsidR="00504F63">
        <w:t xml:space="preserve">it would now appear that </w:t>
      </w:r>
      <w:r w:rsidR="006F3AAA">
        <w:t xml:space="preserve">Code section 68 </w:t>
      </w:r>
      <w:r w:rsidR="001C3FCD">
        <w:t>may</w:t>
      </w:r>
      <w:r w:rsidR="004C0715">
        <w:t xml:space="preserve"> be construed to </w:t>
      </w:r>
      <w:r w:rsidR="006F3AAA">
        <w:t>apply to estates and trusts</w:t>
      </w:r>
      <w:r>
        <w:t xml:space="preserve"> based on the following:</w:t>
      </w:r>
    </w:p>
    <w:p w:rsidR="00376830" w:rsidP="00A500EE" w14:paraId="7F5D516A" w14:textId="62A5D260">
      <w:pPr>
        <w:pStyle w:val="ListParagraph"/>
        <w:numPr>
          <w:ilvl w:val="0"/>
          <w:numId w:val="13"/>
        </w:numPr>
      </w:pPr>
      <w:r>
        <w:t xml:space="preserve">Code section 63(d) defines itemized deductions for all purposes of the income tax as all the deductions allowed to taxpayers other than the standard deduction and the deductions listed in Code section 62 that are allowed in calculating adjusted </w:t>
      </w:r>
      <w:r>
        <w:t>gross income.  Since the deductions allowed by section</w:t>
      </w:r>
      <w:r w:rsidR="0042612A">
        <w:t>s</w:t>
      </w:r>
      <w:r>
        <w:t xml:space="preserve"> 642, 651, and 661 and the deductions for administration expenses are not listed in Code section 62, they are all itemized deductions and apparently subject to Code section 68’s limitation. </w:t>
      </w:r>
      <w:r w:rsidR="00D85802">
        <w:t xml:space="preserve">While Regulation section 1.67-4(a)(ii) specifically states that Code section 651 and 661 deductions and administration expenses that are not commonly or customarily incurred by individuals “are not itemized deductions under section 63(d),” that regulation </w:t>
      </w:r>
      <w:r w:rsidR="002574CB">
        <w:t>may only be applicable</w:t>
      </w:r>
      <w:r w:rsidR="00D85802">
        <w:t xml:space="preserve"> for purposes of Code section 67. </w:t>
      </w:r>
    </w:p>
    <w:p w:rsidR="00376830" w:rsidP="00A500EE" w14:paraId="681E3380" w14:textId="77777777">
      <w:pPr>
        <w:pStyle w:val="ListParagraph"/>
      </w:pPr>
    </w:p>
    <w:p w:rsidR="00504F63" w:rsidP="006A4F17" w14:paraId="7AD31EDB" w14:textId="172A2E59">
      <w:pPr>
        <w:pStyle w:val="ListParagraph"/>
        <w:numPr>
          <w:ilvl w:val="0"/>
          <w:numId w:val="13"/>
        </w:numPr>
      </w:pPr>
      <w:r>
        <w:t>Code section 64</w:t>
      </w:r>
      <w:r w:rsidR="006A4F17">
        <w:t>1</w:t>
      </w:r>
      <w:r>
        <w:t>(b) states, “</w:t>
      </w:r>
      <w:r w:rsidRPr="006F3AAA">
        <w:t xml:space="preserve">The taxable income of an estate or trust shall be </w:t>
      </w:r>
      <w:bookmarkStart w:id="0" w:name="_Hlk209203533"/>
      <w:r w:rsidRPr="006F3AAA">
        <w:t>computed in the same manner as in the case of an individual</w:t>
      </w:r>
      <w:bookmarkEnd w:id="0"/>
      <w:r w:rsidRPr="006F3AAA">
        <w:t>, except as otherwise provided in this part.</w:t>
      </w:r>
      <w:r>
        <w:t>”</w:t>
      </w:r>
      <w:r w:rsidR="00D85802">
        <w:t xml:space="preserve"> </w:t>
      </w:r>
      <w:r w:rsidR="00C92C27">
        <w:t xml:space="preserve">A major </w:t>
      </w:r>
      <w:r w:rsidR="006F3AAA">
        <w:t xml:space="preserve">question about new Code section 68 </w:t>
      </w:r>
      <w:r w:rsidR="00D85802">
        <w:t xml:space="preserve">in the context of Code section 641 </w:t>
      </w:r>
      <w:r w:rsidR="006F3AAA">
        <w:t>is whether it only should apply to estate and trust deductions that are “in the same manner as in the case of an individual</w:t>
      </w:r>
      <w:r>
        <w:t>,</w:t>
      </w:r>
      <w:r w:rsidR="006F3AAA">
        <w:t>”</w:t>
      </w:r>
      <w:r>
        <w:t xml:space="preserve"> or whether it</w:t>
      </w:r>
      <w:r>
        <w:t xml:space="preserve"> </w:t>
      </w:r>
      <w:r>
        <w:t xml:space="preserve">also should </w:t>
      </w:r>
      <w:r w:rsidR="009F7985">
        <w:t>impact</w:t>
      </w:r>
      <w:r>
        <w:t xml:space="preserve"> those special deductions in Subchapter J that only </w:t>
      </w:r>
      <w:r w:rsidR="009F7985">
        <w:t>apply</w:t>
      </w:r>
      <w:r>
        <w:t xml:space="preserve"> to estates and trusts and not to individuals – the “except as otherwise provided in this part</w:t>
      </w:r>
      <w:r w:rsidR="00D85802">
        <w:t>.”</w:t>
      </w:r>
      <w:r w:rsidR="006F3AAA">
        <w:t xml:space="preserve"> </w:t>
      </w:r>
    </w:p>
    <w:p w:rsidR="007D1174" w:rsidP="006A4F17" w14:paraId="60FFAE57" w14:textId="39C835C5">
      <w:r>
        <w:t xml:space="preserve">Under </w:t>
      </w:r>
      <w:r w:rsidR="006F3AAA">
        <w:t xml:space="preserve">Subchapter </w:t>
      </w:r>
      <w:r>
        <w:t>J of the Code, t</w:t>
      </w:r>
      <w:r w:rsidR="0058542A">
        <w:t>he way</w:t>
      </w:r>
      <w:r w:rsidR="00FF4E1C">
        <w:t>s</w:t>
      </w:r>
      <w:r w:rsidR="0058542A">
        <w:t xml:space="preserve"> in which most e</w:t>
      </w:r>
      <w:r w:rsidR="00662EEB">
        <w:t xml:space="preserve">states and trusts </w:t>
      </w:r>
      <w:r w:rsidR="0058542A">
        <w:t>calculate their income tax</w:t>
      </w:r>
      <w:r w:rsidR="0074468E">
        <w:t xml:space="preserve"> </w:t>
      </w:r>
      <w:r w:rsidR="00662EEB">
        <w:t>di</w:t>
      </w:r>
      <w:r w:rsidR="00151621">
        <w:t xml:space="preserve">ffer from </w:t>
      </w:r>
      <w:r w:rsidR="0058542A">
        <w:t xml:space="preserve">the way </w:t>
      </w:r>
      <w:r w:rsidR="00151621">
        <w:t xml:space="preserve">individuals </w:t>
      </w:r>
      <w:r w:rsidR="0058542A">
        <w:t xml:space="preserve">calculate their income tax </w:t>
      </w:r>
      <w:r w:rsidR="00151621">
        <w:t xml:space="preserve">primarily in </w:t>
      </w:r>
      <w:r w:rsidR="006D59C2">
        <w:t xml:space="preserve">three </w:t>
      </w:r>
      <w:r w:rsidR="00151621">
        <w:t>ways</w:t>
      </w:r>
      <w:r w:rsidR="0058542A">
        <w:t>:</w:t>
      </w:r>
    </w:p>
    <w:p w:rsidR="00504F63" w:rsidP="00504F63" w14:paraId="5F245B28" w14:textId="77777777">
      <w:pPr>
        <w:pStyle w:val="ListParagraph"/>
        <w:numPr>
          <w:ilvl w:val="0"/>
          <w:numId w:val="13"/>
        </w:numPr>
      </w:pPr>
      <w:r>
        <w:t>First, estates and trusts serve partially as conduits:</w:t>
      </w:r>
    </w:p>
    <w:p w:rsidR="00504F63" w:rsidP="006A4F17" w14:paraId="56405062" w14:textId="77777777">
      <w:pPr>
        <w:pStyle w:val="ListParagraph"/>
      </w:pPr>
    </w:p>
    <w:p w:rsidR="00376830" w:rsidP="00376830" w14:paraId="42F116C0" w14:textId="299E0BB2">
      <w:pPr>
        <w:pStyle w:val="ListParagraph"/>
        <w:numPr>
          <w:ilvl w:val="1"/>
          <w:numId w:val="13"/>
        </w:numPr>
      </w:pPr>
      <w:r w:rsidRPr="000F3F0B">
        <w:t>“</w:t>
      </w:r>
      <w:r>
        <w:t>D</w:t>
      </w:r>
      <w:r w:rsidRPr="000F3F0B">
        <w:t>eductions” allowed to estates and trusts under sections 651, 661 and</w:t>
      </w:r>
      <w:r w:rsidR="00473159">
        <w:t> </w:t>
      </w:r>
      <w:r w:rsidRPr="000F3F0B">
        <w:t xml:space="preserve">642(c) should be viewed as merely a mechanism to attribute income from the estate or trust to the beneficial owners of such income, particularly in the case of an estate or trust that is making liquidating distributions to beneficial owners and charitable lead trusts making mandatory distributions to charity.  </w:t>
      </w:r>
      <w:r>
        <w:t xml:space="preserve"> Applying Code section 68 to Code section 651 or 661 may result in double taxation.  Any amount that a trust or estate deducts under Code section 651 or 661 is included in its beneficiaries’ gross income under Code section 652 or 662.  The beneficiary clearly could be subject to Section 68’s disallowance of deductions by virtue of including the estate or trust’s distribution in gross income. However, it is not clear whether Code section 68 also should apply as a double tax at the estate or trust level to the special section 651 or 661 distribution deductions under Subchapter J for distributing the income to that beneficiary.</w:t>
      </w:r>
    </w:p>
    <w:p w:rsidR="00376830" w:rsidP="006A4F17" w14:paraId="63B5EA66" w14:textId="77777777">
      <w:pPr>
        <w:pStyle w:val="ListParagraph"/>
        <w:ind w:left="1440"/>
      </w:pPr>
    </w:p>
    <w:p w:rsidR="007B026D" w:rsidP="006A4F17" w14:paraId="1E9C9A9A" w14:textId="2F336FC6">
      <w:pPr>
        <w:pStyle w:val="ListParagraph"/>
        <w:numPr>
          <w:ilvl w:val="2"/>
          <w:numId w:val="13"/>
        </w:numPr>
      </w:pPr>
      <w:r>
        <w:t>Consider, for example, a trust with $1 million of gross income and no expenses.  It distributes all its income to its beneficiary.  The trust has a distribution deduction of $1 million under Code section 661 but, after application of the Code section 68 limitation (assuming a trust in 2026 pays tax at a 37% rate on income above $15,650, as it does in 2025)</w:t>
      </w:r>
      <w:r w:rsidR="0042612A">
        <w:t>,</w:t>
      </w:r>
      <w:r>
        <w:t xml:space="preserve"> it will pay an income tax of $53,213.  The beneficiary will pay tax on the entire $1,000,000, and the addition of this amount to the beneficiary’s gross income will ensure that his or her deductions are also subject to the Code section 68 limitation.</w:t>
      </w:r>
      <w:r>
        <w:br/>
      </w:r>
    </w:p>
    <w:p w:rsidR="00376830" w:rsidP="00504F63" w14:paraId="004ABA46" w14:textId="3F9303B7">
      <w:pPr>
        <w:pStyle w:val="ListParagraph"/>
        <w:numPr>
          <w:ilvl w:val="1"/>
          <w:numId w:val="13"/>
        </w:numPr>
      </w:pPr>
      <w:r>
        <w:t>When an estate or trust distributes its gross income to charity and that distribution is authorized by the governing instrument, that distribution is deductible by the estate or trust</w:t>
      </w:r>
      <w:r w:rsidR="00504F63">
        <w:t>.</w:t>
      </w:r>
      <w:r w:rsidRPr="00376830">
        <w:t xml:space="preserve"> Code section 642(c) prevents an estate or trust from being taxed on the amount of its gross income that is distributed to its charitable beneficiaries.  Code section 663(a)(2) recognizes that Code section 642(c) takes the place of any Code section 661 deduction.</w:t>
      </w:r>
    </w:p>
    <w:p w:rsidR="00504F63" w:rsidP="006A4F17" w14:paraId="115A6D5B" w14:textId="4840BCE3">
      <w:pPr>
        <w:pStyle w:val="ListParagraph"/>
        <w:numPr>
          <w:ilvl w:val="0"/>
          <w:numId w:val="13"/>
        </w:numPr>
      </w:pPr>
      <w:r>
        <w:t xml:space="preserve">Second, an estate and a post-mortem revocable trust distribute all their assets to their beneficiaries over a relatively short period of time and report associated income – including income in respect of a decedent under Code section 691 </w:t>
      </w:r>
      <w:r w:rsidR="00511A6A">
        <w:t xml:space="preserve">– </w:t>
      </w:r>
      <w:r>
        <w:t>often in lump sums that represent substantially more than a single year’s earnings. In contrast, an individual’s income tax return generally reports income from a single year’s earnings.</w:t>
      </w:r>
    </w:p>
    <w:p w:rsidR="00A91B70" w:rsidP="00A91B70" w14:paraId="0C0A87A6" w14:textId="6353DD0A">
      <w:pPr>
        <w:ind w:left="720"/>
      </w:pPr>
      <w:r w:rsidRPr="00A91B70">
        <w:rPr>
          <w:rFonts w:cs="Arial"/>
        </w:rPr>
        <w:t xml:space="preserve">In addition to </w:t>
      </w:r>
      <w:r>
        <w:t>estates and post-mortem revocable trusts, w</w:t>
      </w:r>
      <w:r w:rsidRPr="00A91B70">
        <w:rPr>
          <w:rFonts w:cs="Arial"/>
        </w:rPr>
        <w:t xml:space="preserve">e also recognize that charitable lead trusts often pay a large portion of their assets to charity under Code section 2055(e)(2)(B).  Revenue Procedure 2007-46 provides sample testamentary charitable lead </w:t>
      </w:r>
      <w:r w:rsidR="0042612A">
        <w:rPr>
          <w:rFonts w:cs="Arial"/>
        </w:rPr>
        <w:t>annuity trust provisions</w:t>
      </w:r>
      <w:r w:rsidRPr="00A91B70" w:rsidR="0042612A">
        <w:rPr>
          <w:rFonts w:cs="Arial"/>
        </w:rPr>
        <w:t xml:space="preserve"> </w:t>
      </w:r>
      <w:r w:rsidRPr="00A91B70">
        <w:rPr>
          <w:rFonts w:cs="Arial"/>
        </w:rPr>
        <w:t>and in section 5.01(2) explains the Code section 642(c)(1) charitable deduction in that context.</w:t>
      </w:r>
    </w:p>
    <w:p w:rsidR="00387156" w:rsidRPr="00326848" w:rsidP="006A4F17" w14:paraId="5ED056D2" w14:textId="1B603F92">
      <w:pPr>
        <w:pStyle w:val="ListParagraph"/>
        <w:numPr>
          <w:ilvl w:val="0"/>
          <w:numId w:val="13"/>
        </w:numPr>
      </w:pPr>
      <w:r>
        <w:t xml:space="preserve">Third, estates and trusts incur expenses that are unique to the administration of trusts and estates and </w:t>
      </w:r>
      <w:r w:rsidR="00504F63">
        <w:t xml:space="preserve">that </w:t>
      </w:r>
      <w:r>
        <w:t xml:space="preserve">are not </w:t>
      </w:r>
      <w:r w:rsidR="00504F63">
        <w:t xml:space="preserve">commonly or customarily </w:t>
      </w:r>
      <w:r>
        <w:t>incurred by individuals.</w:t>
      </w:r>
    </w:p>
    <w:p w:rsidR="00CC522C" w:rsidP="006A4F17" w14:paraId="5B3D42B2" w14:textId="280D1FF6">
      <w:pPr>
        <w:keepNext/>
        <w:ind w:firstLine="720"/>
        <w:rPr>
          <w:i/>
          <w:iCs/>
        </w:rPr>
      </w:pPr>
      <w:r>
        <w:rPr>
          <w:i/>
          <w:iCs/>
        </w:rPr>
        <w:t xml:space="preserve">2. </w:t>
      </w:r>
      <w:r w:rsidR="0058542A">
        <w:rPr>
          <w:i/>
          <w:iCs/>
        </w:rPr>
        <w:t xml:space="preserve">Possible </w:t>
      </w:r>
      <w:r w:rsidRPr="00CC522C" w:rsidR="0058542A">
        <w:rPr>
          <w:i/>
          <w:iCs/>
        </w:rPr>
        <w:t>Solution</w:t>
      </w:r>
      <w:r w:rsidR="0058542A">
        <w:rPr>
          <w:i/>
          <w:iCs/>
        </w:rPr>
        <w:t>s</w:t>
      </w:r>
    </w:p>
    <w:p w:rsidR="00434C1B" w:rsidP="00376830" w14:paraId="2B52AEF1" w14:textId="26DC3731">
      <w:pPr>
        <w:keepNext/>
        <w:ind w:firstLine="720"/>
        <w:rPr>
          <w:u w:val="single"/>
        </w:rPr>
      </w:pPr>
      <w:r>
        <w:rPr>
          <w:u w:val="single"/>
        </w:rPr>
        <w:t>a. Solution for Limiting the Application of Section 68 to Deductions Applicable to Individuals</w:t>
      </w:r>
    </w:p>
    <w:p w:rsidR="00434C1B" w:rsidP="00A91B70" w14:paraId="4A9FD8AF" w14:textId="55A70334">
      <w:pPr>
        <w:ind w:firstLine="720"/>
      </w:pPr>
      <w:r w:rsidRPr="006A4F17">
        <w:t xml:space="preserve">If Congress did not intend the Code </w:t>
      </w:r>
      <w:r>
        <w:t>s</w:t>
      </w:r>
      <w:r w:rsidRPr="006A4F17">
        <w:t xml:space="preserve">ection 68 limitation to apply to the unique </w:t>
      </w:r>
      <w:r>
        <w:t>deductions for estates and trusts under Subchapter J of the Code, it</w:t>
      </w:r>
      <w:r w:rsidRPr="006A4F17">
        <w:t xml:space="preserve"> could consider a technical amendment of Code section 6</w:t>
      </w:r>
      <w:r>
        <w:t xml:space="preserve">8 to clarify that it only applies to deductions that would be </w:t>
      </w:r>
      <w:r w:rsidRPr="00434C1B">
        <w:t>computed in the same manner as in the case of an individual</w:t>
      </w:r>
      <w:r>
        <w:t>, and not to deductions that only apply to estates and trusts as otherwise provided in Subchapter J of the Code.</w:t>
      </w:r>
      <w:r w:rsidR="00C94A4E">
        <w:t xml:space="preserve">  </w:t>
      </w:r>
      <w:r w:rsidR="001061F5">
        <w:t>In addition to the deductions to which</w:t>
      </w:r>
      <w:r w:rsidRPr="001061F5" w:rsidR="001061F5">
        <w:t xml:space="preserve"> section 67(e)</w:t>
      </w:r>
      <w:r w:rsidR="001061F5">
        <w:t xml:space="preserve"> refers,</w:t>
      </w:r>
      <w:r w:rsidRPr="001061F5" w:rsidR="001061F5">
        <w:t xml:space="preserve"> we think the deduction allowed by section 642(c) should also be expressly excepted from the application of section 68, particularly in the case of mandatory and liquidating distributions.</w:t>
      </w:r>
    </w:p>
    <w:p w:rsidR="00434C1B" w:rsidRPr="006A4F17" w:rsidP="00A91B70" w14:paraId="09647864" w14:textId="7C2E90BE">
      <w:pPr>
        <w:ind w:firstLine="720"/>
      </w:pPr>
      <w:r w:rsidRPr="006A4F17">
        <w:t>Alternatively, the IRS and Treasury could consider issuing guidance under Code section 68 providing that</w:t>
      </w:r>
      <w:r>
        <w:t xml:space="preserve"> it only applies i</w:t>
      </w:r>
      <w:r w:rsidRPr="00434C1B">
        <w:t>n the case of</w:t>
      </w:r>
      <w:r>
        <w:t xml:space="preserve"> an estate or trust to deductions that would otherwise apply in the case of an individual. </w:t>
      </w:r>
    </w:p>
    <w:p w:rsidR="002D1E90" w:rsidRPr="00EB2937" w:rsidP="006A4F17" w14:paraId="615FF1E5" w14:textId="5673721E">
      <w:pPr>
        <w:keepNext/>
        <w:ind w:firstLine="720"/>
        <w:rPr>
          <w:u w:val="single"/>
        </w:rPr>
      </w:pPr>
      <w:r>
        <w:rPr>
          <w:u w:val="single"/>
        </w:rPr>
        <w:t>b</w:t>
      </w:r>
      <w:r w:rsidR="00376830">
        <w:rPr>
          <w:u w:val="single"/>
        </w:rPr>
        <w:t>. Solution to t</w:t>
      </w:r>
      <w:r w:rsidRPr="00EB2937" w:rsidR="00376830">
        <w:rPr>
          <w:u w:val="single"/>
        </w:rPr>
        <w:t xml:space="preserve">he </w:t>
      </w:r>
      <w:r w:rsidRPr="00EB2937" w:rsidR="0058542A">
        <w:rPr>
          <w:u w:val="single"/>
        </w:rPr>
        <w:t>Double Taxation Problem</w:t>
      </w:r>
    </w:p>
    <w:p w:rsidR="002D1E90" w:rsidP="00A91B70" w14:paraId="2042150D" w14:textId="520230B5">
      <w:pPr>
        <w:ind w:firstLine="720"/>
      </w:pPr>
      <w:r>
        <w:t xml:space="preserve">Subsection (e) of Code section 67, which disallows the deductibility of a large category of itemized deductions referred to as “miscellaneous itemized deductions,” </w:t>
      </w:r>
      <w:r w:rsidR="0029115C">
        <w:t>recognizes the</w:t>
      </w:r>
      <w:r>
        <w:t xml:space="preserve"> uniqueness of the section 651 and 661 deductions and the deduction for the unique administration expenses of trusts and estates</w:t>
      </w:r>
      <w:r w:rsidR="008130D5">
        <w:t>.  It provides as follows:</w:t>
      </w:r>
    </w:p>
    <w:p w:rsidR="008130D5" w:rsidRPr="004F35C8" w:rsidP="008130D5" w14:paraId="0F8CE405" w14:textId="77777777">
      <w:pPr>
        <w:spacing w:after="240"/>
        <w:ind w:left="360" w:right="360"/>
        <w:rPr>
          <w:rFonts w:cs="Arial"/>
        </w:rPr>
      </w:pPr>
      <w:r w:rsidRPr="004F35C8">
        <w:rPr>
          <w:rFonts w:cs="Arial"/>
        </w:rPr>
        <w:t>For purposes of this section, the adjusted gross income of an estate or trust shall be computed in the same manner as in the case of an individual, except that</w:t>
      </w:r>
      <w:r>
        <w:rPr>
          <w:rFonts w:cs="Arial"/>
        </w:rPr>
        <w:t> -</w:t>
      </w:r>
    </w:p>
    <w:p w:rsidR="008130D5" w:rsidRPr="004F35C8" w:rsidP="008130D5" w14:paraId="2B143AEE" w14:textId="77777777">
      <w:pPr>
        <w:spacing w:after="240"/>
        <w:ind w:left="810" w:right="360" w:hanging="450"/>
        <w:rPr>
          <w:rFonts w:cs="Arial"/>
        </w:rPr>
      </w:pPr>
      <w:r w:rsidRPr="004F35C8">
        <w:rPr>
          <w:rFonts w:cs="Arial"/>
        </w:rPr>
        <w:t>(1)</w:t>
      </w:r>
      <w:r>
        <w:rPr>
          <w:rFonts w:cs="Arial"/>
        </w:rPr>
        <w:tab/>
      </w:r>
      <w:r w:rsidRPr="004F35C8">
        <w:rPr>
          <w:rFonts w:cs="Arial"/>
        </w:rPr>
        <w:t>the deductions for costs which are paid or incurred in connection with the administration of the estate or trust and which would not have been incurred if the property were not held in such trust or estate, and</w:t>
      </w:r>
    </w:p>
    <w:p w:rsidR="008130D5" w:rsidP="008130D5" w14:paraId="42258F42" w14:textId="77777777">
      <w:pPr>
        <w:spacing w:after="240"/>
        <w:ind w:left="810" w:right="360" w:hanging="450"/>
        <w:rPr>
          <w:rFonts w:cs="Arial"/>
        </w:rPr>
      </w:pPr>
      <w:r w:rsidRPr="004F35C8">
        <w:rPr>
          <w:rFonts w:cs="Arial"/>
        </w:rPr>
        <w:t>(2)</w:t>
      </w:r>
      <w:r>
        <w:rPr>
          <w:rFonts w:cs="Arial"/>
        </w:rPr>
        <w:tab/>
      </w:r>
      <w:r w:rsidRPr="004F35C8">
        <w:rPr>
          <w:rFonts w:cs="Arial"/>
        </w:rPr>
        <w:t>the deductions allowable under sections 642(b), 651, and 661,</w:t>
      </w:r>
    </w:p>
    <w:p w:rsidR="008130D5" w:rsidP="008130D5" w14:paraId="77F41B23" w14:textId="77777777">
      <w:pPr>
        <w:spacing w:after="240"/>
        <w:ind w:left="360" w:right="360"/>
        <w:rPr>
          <w:rFonts w:cs="Arial"/>
        </w:rPr>
      </w:pPr>
      <w:r w:rsidRPr="004F35C8">
        <w:rPr>
          <w:rFonts w:cs="Arial"/>
        </w:rPr>
        <w:t>shall be treated as allowable in arriving at adjusted gross income. Under regulations, appropriate adjustments shall be made in the application of part I of subchapter J of this chapter to take into account the provisions of this section.</w:t>
      </w:r>
    </w:p>
    <w:p w:rsidR="008130D5" w:rsidP="008130D5" w14:paraId="6C5B3EE5" w14:textId="77777777">
      <w:r>
        <w:t xml:space="preserve">Unfortunately, Code section 67(e) begins by saying that its modification of AGI applies only for purposes for Code section 67.  </w:t>
      </w:r>
    </w:p>
    <w:p w:rsidR="008130D5" w:rsidP="008130D5" w14:paraId="0CB2536D" w14:textId="25EDDDF0">
      <w:r>
        <w:t>The regulations under Code section 67, however, do not limit the application of Code section 67(e) to Code section 67.  Instead, they provide:</w:t>
      </w:r>
    </w:p>
    <w:p w:rsidR="008130D5" w:rsidP="008130D5" w14:paraId="303724C3" w14:textId="77777777">
      <w:pPr>
        <w:keepNext/>
        <w:spacing w:after="240"/>
        <w:ind w:left="806" w:right="360" w:hanging="446"/>
      </w:pPr>
      <w:r w:rsidRPr="006D3960">
        <w:t>(1)</w:t>
      </w:r>
      <w:r>
        <w:tab/>
      </w:r>
      <w:r w:rsidRPr="006D3960">
        <w:rPr>
          <w:i/>
          <w:iCs/>
        </w:rPr>
        <w:t>Section 67(e) deductions</w:t>
      </w:r>
      <w:r>
        <w:t>.</w:t>
      </w:r>
    </w:p>
    <w:p w:rsidR="008130D5" w:rsidP="008130D5" w14:paraId="4E8A0E1A" w14:textId="77777777">
      <w:pPr>
        <w:spacing w:after="240"/>
        <w:ind w:left="1170" w:right="360" w:hanging="450"/>
      </w:pPr>
      <w:r>
        <w:t>(i)</w:t>
      </w:r>
      <w:r>
        <w:tab/>
      </w:r>
      <w:r w:rsidRPr="001C7ECA">
        <w:rPr>
          <w:i/>
          <w:iCs/>
        </w:rPr>
        <w:t>In general</w:t>
      </w:r>
      <w:r>
        <w:t>. An estate or trust (including the S portion of an electing small business trust) not described in §1.67-2T(g)(1)(i) (a non-grantor trust) must compute its adjusted gross income in the same manner as an individual, except that the following deductions (section 67(e) deductions) are allowed in arriving at adjusted gross income:</w:t>
      </w:r>
    </w:p>
    <w:p w:rsidR="008130D5" w:rsidP="008130D5" w14:paraId="214BDD4E" w14:textId="77777777">
      <w:pPr>
        <w:spacing w:after="240"/>
        <w:ind w:left="1530" w:right="360" w:hanging="450"/>
      </w:pPr>
      <w:r>
        <w:t>(A) Costs that are paid or incurred in connection with the administration of the estate or trust that would not have been incurred if the property were not held in such estate or trust; and</w:t>
      </w:r>
    </w:p>
    <w:p w:rsidR="008130D5" w:rsidP="008130D5" w14:paraId="7675B55A" w14:textId="77777777">
      <w:pPr>
        <w:spacing w:after="240"/>
        <w:ind w:left="1530" w:right="360" w:hanging="450"/>
      </w:pPr>
      <w:r>
        <w:t>(B) Deductions allowable under section 642(b) (relating to the personal exemption) and sections 651 and 661 (relating to distributions).</w:t>
      </w:r>
    </w:p>
    <w:p w:rsidR="008130D5" w:rsidP="008130D5" w14:paraId="19AD225D" w14:textId="1CBB2A7E">
      <w:pPr>
        <w:spacing w:after="240"/>
        <w:ind w:left="360" w:right="360"/>
      </w:pPr>
      <w:r>
        <w:t>(ii)</w:t>
      </w:r>
      <w:r>
        <w:tab/>
      </w:r>
      <w:r w:rsidRPr="001C7ECA">
        <w:rPr>
          <w:i/>
          <w:iCs/>
        </w:rPr>
        <w:t>Not disallowed under section 67(g)</w:t>
      </w:r>
      <w:r>
        <w:t>. Section 67(e) deductions are not itemized deductions under section 63(d) and are not miscellaneous itemized deductions under section 67(b). Therefore, section 67(e) deductions are not disallowed under section 67(g).</w:t>
      </w:r>
    </w:p>
    <w:p w:rsidR="008A34F0" w:rsidP="008A34F0" w14:paraId="2C972BA9" w14:textId="31680F63">
      <w:r>
        <w:t xml:space="preserve">If Congress did not intend the Code </w:t>
      </w:r>
      <w:r w:rsidR="00434C1B">
        <w:t xml:space="preserve">section </w:t>
      </w:r>
      <w:r>
        <w:t>68 limitation to apply to the unique administration expenses of estates and trusts or to the deductions allowed by Code sections 651 and 661, it could consider a technical amendment of Code section 67(e) to provide that it applies for purposes of Code section 68 as well as for purposes of Code section 67.</w:t>
      </w:r>
    </w:p>
    <w:p w:rsidR="00EB2937" w:rsidP="008A34F0" w14:paraId="118AE5EE" w14:textId="0DCC9FB8">
      <w:r>
        <w:t xml:space="preserve">Alternatively, the IRS and Treasury </w:t>
      </w:r>
      <w:r w:rsidR="007177B2">
        <w:t>could consider</w:t>
      </w:r>
      <w:r>
        <w:t xml:space="preserve"> issuing guidance under Code section 68 providing that for purposes of determining the adjusted gross income of an estate or trust</w:t>
      </w:r>
      <w:r w:rsidR="00673DA5">
        <w:t>,</w:t>
      </w:r>
      <w:r>
        <w:t xml:space="preserve"> the adjusted gross income of an estate or trust is adjusted gross income as defined in Code section 67(e).  There is some preceden</w:t>
      </w:r>
      <w:r w:rsidR="00806C0C">
        <w:t>t</w:t>
      </w:r>
      <w:r>
        <w:t xml:space="preserve"> for a regulation looking to Code section 67 for guidance as to how to calculate the adjusted gross income of an estate or trust.  The regulations under Code section 30D dealing with the</w:t>
      </w:r>
      <w:r w:rsidR="0007794A">
        <w:t xml:space="preserve"> clean vehicle </w:t>
      </w:r>
      <w:r>
        <w:t xml:space="preserve">credit provide, without any direction in the Code, that estates and trusts should calculate their modified gross </w:t>
      </w:r>
      <w:r>
        <w:t>income in the same manner that they calculate their adjusted gross income</w:t>
      </w:r>
      <w:r w:rsidR="0099005D">
        <w:t xml:space="preserve">s </w:t>
      </w:r>
      <w:r>
        <w:t xml:space="preserve">under Code section 67(e). </w:t>
      </w:r>
      <w:r w:rsidR="0099005D">
        <w:t>(</w:t>
      </w:r>
      <w:r>
        <w:t xml:space="preserve">Treas. Reg. </w:t>
      </w:r>
      <w:r w:rsidR="00806C0C">
        <w:t>§ </w:t>
      </w:r>
      <w:r>
        <w:t>1.30D-2(b)(32)(ii)</w:t>
      </w:r>
      <w:r w:rsidR="0099005D">
        <w:t>)</w:t>
      </w:r>
    </w:p>
    <w:p w:rsidR="00EB2937" w:rsidP="004C1F8E" w14:paraId="1138C1B5" w14:textId="7E1805F2">
      <w:pPr>
        <w:keepNext/>
        <w:ind w:firstLine="720"/>
        <w:rPr>
          <w:u w:val="single"/>
        </w:rPr>
      </w:pPr>
      <w:r>
        <w:rPr>
          <w:u w:val="single"/>
        </w:rPr>
        <w:t>c</w:t>
      </w:r>
      <w:r w:rsidR="00376830">
        <w:rPr>
          <w:u w:val="single"/>
        </w:rPr>
        <w:t>. Solution to t</w:t>
      </w:r>
      <w:r w:rsidRPr="006D280B" w:rsidR="00376830">
        <w:rPr>
          <w:u w:val="single"/>
        </w:rPr>
        <w:t xml:space="preserve">he </w:t>
      </w:r>
      <w:r w:rsidRPr="006D280B" w:rsidR="00806C0C">
        <w:rPr>
          <w:u w:val="single"/>
        </w:rPr>
        <w:t>Code section </w:t>
      </w:r>
      <w:r w:rsidRPr="006D280B" w:rsidR="0058542A">
        <w:rPr>
          <w:u w:val="single"/>
        </w:rPr>
        <w:t>642</w:t>
      </w:r>
      <w:r w:rsidRPr="0099005D" w:rsidR="0058542A">
        <w:rPr>
          <w:u w:val="single"/>
        </w:rPr>
        <w:t>(c) Deduction</w:t>
      </w:r>
    </w:p>
    <w:p w:rsidR="00EB2937" w:rsidP="008A34F0" w14:paraId="50D57BC6" w14:textId="2353A7DE">
      <w:r>
        <w:t>Code section 642(c)(1) provide</w:t>
      </w:r>
      <w:r w:rsidR="002131DD">
        <w:t>s</w:t>
      </w:r>
      <w:r>
        <w:t xml:space="preserve"> that the charitable deduction </w:t>
      </w:r>
      <w:r w:rsidR="002131DD">
        <w:t xml:space="preserve">for </w:t>
      </w:r>
      <w:r>
        <w:t xml:space="preserve">gross income </w:t>
      </w:r>
      <w:r w:rsidR="00FF0B66">
        <w:t xml:space="preserve">paid </w:t>
      </w:r>
      <w:r w:rsidR="007177B2">
        <w:t xml:space="preserve">to charity </w:t>
      </w:r>
      <w:r>
        <w:t xml:space="preserve">is “without limitation.”  </w:t>
      </w:r>
      <w:r w:rsidR="00FF0B66">
        <w:t xml:space="preserve">Code section 642(c)(2) similarly provides that the charitable deduction for amounts permanently set aside for charity by an estate or by a trust that is treated as part of an estate is “without limitation.” </w:t>
      </w:r>
      <w:r w:rsidR="00B237C8">
        <w:t xml:space="preserve"> </w:t>
      </w:r>
      <w:r>
        <w:t>Regulation sections </w:t>
      </w:r>
      <w:r w:rsidRPr="00C76BDC">
        <w:t>1.642(c)-1(a)(1)</w:t>
      </w:r>
      <w:r>
        <w:t xml:space="preserve"> and </w:t>
      </w:r>
      <w:r w:rsidRPr="00AB7EEA">
        <w:t>1.642(c)-2(a)</w:t>
      </w:r>
      <w:r>
        <w:t xml:space="preserve"> recognize that the Code </w:t>
      </w:r>
      <w:r w:rsidR="0042612A">
        <w:t>section</w:t>
      </w:r>
      <w:r w:rsidRPr="00326848">
        <w:t xml:space="preserve"> 642(c) </w:t>
      </w:r>
      <w:r>
        <w:t>deduction is “</w:t>
      </w:r>
      <w:r w:rsidRPr="00122912">
        <w:t>in lieu of the limited charitable contributions deduction authorized by section</w:t>
      </w:r>
      <w:r>
        <w:t> </w:t>
      </w:r>
      <w:r w:rsidRPr="00122912">
        <w:t>170(a).</w:t>
      </w:r>
      <w:r>
        <w:t>”  This “</w:t>
      </w:r>
      <w:r w:rsidRPr="00E96A2C">
        <w:t>without limitation</w:t>
      </w:r>
      <w:r>
        <w:t>”</w:t>
      </w:r>
      <w:r w:rsidRPr="00E96A2C">
        <w:t xml:space="preserve"> </w:t>
      </w:r>
      <w:r w:rsidR="00FF0B66">
        <w:t xml:space="preserve">provision that applies to trusts and not </w:t>
      </w:r>
      <w:r w:rsidR="00B237C8">
        <w:t xml:space="preserve">to </w:t>
      </w:r>
      <w:r w:rsidR="00FF0B66">
        <w:t xml:space="preserve">individuals  </w:t>
      </w:r>
      <w:r>
        <w:t xml:space="preserve"> originates in section 162(a) of the 1939 Internal Revenue Code, as explained by the U.S. Supreme Court in </w:t>
      </w:r>
      <w:r w:rsidRPr="00096C96">
        <w:rPr>
          <w:i/>
          <w:iCs/>
        </w:rPr>
        <w:t>United States v. Benedict</w:t>
      </w:r>
      <w:r w:rsidRPr="00096C96">
        <w:t>, 338 U.S. 692 (1950)</w:t>
      </w:r>
      <w:r>
        <w:t xml:space="preserve">.  </w:t>
      </w:r>
      <w:r w:rsidR="00924FCE">
        <w:t xml:space="preserve">Given that the Code section 642(c) is </w:t>
      </w:r>
      <w:r w:rsidR="00B237C8">
        <w:t xml:space="preserve">fundamentally </w:t>
      </w:r>
      <w:r w:rsidR="00924FCE">
        <w:t xml:space="preserve">different for estates and trusts </w:t>
      </w:r>
      <w:r w:rsidR="00B237C8">
        <w:t xml:space="preserve">from  </w:t>
      </w:r>
      <w:r w:rsidR="00924FCE">
        <w:t xml:space="preserve">the Code section 170(a) deduction for individuals, </w:t>
      </w:r>
      <w:r w:rsidR="00FF0B66">
        <w:t xml:space="preserve">it is possible that Congress did not intend </w:t>
      </w:r>
      <w:r w:rsidR="00924FCE">
        <w:t xml:space="preserve">Code section 68 </w:t>
      </w:r>
      <w:r w:rsidR="00FF0B66">
        <w:t>to</w:t>
      </w:r>
      <w:r w:rsidR="00924FCE">
        <w:t xml:space="preserve"> limit Code section 642(c)(1)</w:t>
      </w:r>
      <w:r w:rsidR="00FF0B66">
        <w:t xml:space="preserve"> and</w:t>
      </w:r>
      <w:r w:rsidR="00924FCE">
        <w:t xml:space="preserve"> (2) deductions.</w:t>
      </w:r>
    </w:p>
    <w:p w:rsidR="008130D5" w:rsidP="007177B2" w14:paraId="68539C71" w14:textId="31021A62">
      <w:r>
        <w:t>If Congress</w:t>
      </w:r>
      <w:r w:rsidR="007177B2">
        <w:t xml:space="preserve"> did not intend the Code section 68 limitation to apply to the deduction allowed to estates and trusts for their </w:t>
      </w:r>
      <w:r w:rsidR="00FF0B66">
        <w:t xml:space="preserve">payments </w:t>
      </w:r>
      <w:r w:rsidR="007177B2">
        <w:t>from gross income to charity</w:t>
      </w:r>
      <w:r w:rsidR="00FF0B66">
        <w:t xml:space="preserve"> and their </w:t>
      </w:r>
      <w:r w:rsidR="00D35DD9">
        <w:t xml:space="preserve">permanent </w:t>
      </w:r>
      <w:r w:rsidR="00FF0B66">
        <w:t>set asides from gross income for charity</w:t>
      </w:r>
      <w:r w:rsidR="007177B2">
        <w:t xml:space="preserve">, it could consider a technical amendment to Code section 67(e) to add the Code section 642(c) deduction to the </w:t>
      </w:r>
      <w:r w:rsidR="00B237C8">
        <w:t xml:space="preserve">list of </w:t>
      </w:r>
      <w:r w:rsidR="007177B2">
        <w:t>deductions trust and estates take in computing adjusted gross income.  That technical amendment, together with the one suggested above in connection with the Code section 651 and 661 deductions and the unique administration expense deductions of trusts and estates, would ensure that the Code section 642(c) deduction would not be subject to the Code section 68 limitations.</w:t>
      </w:r>
    </w:p>
    <w:p w:rsidR="002D1E90" w:rsidP="002D1E90" w14:paraId="1664A2A2" w14:textId="071B8370">
      <w:r>
        <w:t>Alternatively,</w:t>
      </w:r>
      <w:r w:rsidR="000C7F36">
        <w:t xml:space="preserve"> </w:t>
      </w:r>
      <w:r>
        <w:t xml:space="preserve">the IRS and Treasury could consider issuing guidance under Code section 68 </w:t>
      </w:r>
      <w:r w:rsidR="000C7F36">
        <w:t xml:space="preserve">to resolve the ambiguity now in the Code by either providing that the “without limitation” language now in Code section </w:t>
      </w:r>
      <w:r w:rsidR="00377C69">
        <w:t>642</w:t>
      </w:r>
      <w:r w:rsidR="000C7F36">
        <w:t>(c) takes precedence over Code section 68 or that Code section 68 takes precedence over the “without limitation” language in Code section 642(c).</w:t>
      </w:r>
    </w:p>
    <w:p w:rsidR="002D1E90" w:rsidP="002D1E90" w14:paraId="2DBFE650" w14:textId="774766FD">
      <w:pPr>
        <w:rPr>
          <w:rFonts w:cs="Arial"/>
        </w:rPr>
      </w:pPr>
      <w:r>
        <w:t>I</w:t>
      </w:r>
      <w:r w:rsidR="0058542A">
        <w:t xml:space="preserve">f that approach is not taken then we have </w:t>
      </w:r>
      <w:r w:rsidR="00EA7A87">
        <w:t xml:space="preserve">an additional </w:t>
      </w:r>
      <w:r w:rsidR="0058542A">
        <w:t xml:space="preserve">point to consider.  </w:t>
      </w:r>
      <w:r w:rsidR="00EA7A87">
        <w:t>A</w:t>
      </w:r>
      <w:r w:rsidR="0058542A">
        <w:t>s mentioned above, an estate and a post-mortem revocable trust distribute all their assets to their beneficiaries over a relatively short period of time and report associated income – including income in respect of a decedent under Code section 691</w:t>
      </w:r>
      <w:r w:rsidR="00EA7A87">
        <w:t xml:space="preserve"> – </w:t>
      </w:r>
      <w:r w:rsidR="0058542A">
        <w:t>often in lump sums that represent substantially more than a single year’s earnings.  In contrast, an individual’s income tax return generally reports income from</w:t>
      </w:r>
      <w:r w:rsidRPr="00D97616" w:rsidR="0058542A">
        <w:t xml:space="preserve"> </w:t>
      </w:r>
      <w:r w:rsidR="0058542A">
        <w:t xml:space="preserve">a single year’s earnings.  If an estate or post-mortem revocable trust distributes all its gross income to charity, imposing income </w:t>
      </w:r>
      <w:r w:rsidR="0058542A">
        <w:t xml:space="preserve">tax would contravene the public policy favoring charitable deductions described in </w:t>
      </w:r>
      <w:r w:rsidRPr="00155BB6" w:rsidR="0058542A">
        <w:rPr>
          <w:i/>
          <w:iCs/>
        </w:rPr>
        <w:t>Benedict</w:t>
      </w:r>
      <w:r w:rsidR="0058542A">
        <w:t xml:space="preserve">.  Furthermore, </w:t>
      </w:r>
      <w:r w:rsidRPr="00194361" w:rsidR="0058542A">
        <w:rPr>
          <w:rFonts w:cs="Arial"/>
          <w:i/>
          <w:iCs/>
        </w:rPr>
        <w:t>Hartwick College v. U.S.</w:t>
      </w:r>
      <w:r w:rsidRPr="00194361" w:rsidR="0058542A">
        <w:rPr>
          <w:rFonts w:cs="Arial"/>
        </w:rPr>
        <w:t>, 801</w:t>
      </w:r>
      <w:r w:rsidR="0058542A">
        <w:rPr>
          <w:rFonts w:cs="Arial"/>
        </w:rPr>
        <w:t> </w:t>
      </w:r>
      <w:r w:rsidRPr="00194361" w:rsidR="0058542A">
        <w:rPr>
          <w:rFonts w:cs="Arial"/>
        </w:rPr>
        <w:t>F.2d</w:t>
      </w:r>
      <w:r w:rsidR="0058542A">
        <w:rPr>
          <w:rFonts w:cs="Arial"/>
        </w:rPr>
        <w:t> </w:t>
      </w:r>
      <w:r w:rsidRPr="00194361" w:rsidR="0058542A">
        <w:rPr>
          <w:rFonts w:cs="Arial"/>
        </w:rPr>
        <w:t>608</w:t>
      </w:r>
      <w:r w:rsidR="0058542A">
        <w:rPr>
          <w:rFonts w:cs="Arial"/>
        </w:rPr>
        <w:t xml:space="preserve"> (2</w:t>
      </w:r>
      <w:r w:rsidR="00020583">
        <w:rPr>
          <w:rFonts w:cs="Arial"/>
        </w:rPr>
        <w:t xml:space="preserve">nd </w:t>
      </w:r>
      <w:r w:rsidR="0058542A">
        <w:rPr>
          <w:rFonts w:cs="Arial"/>
        </w:rPr>
        <w:t>Cir. </w:t>
      </w:r>
      <w:r w:rsidRPr="00194361" w:rsidR="0058542A">
        <w:rPr>
          <w:rFonts w:cs="Arial"/>
        </w:rPr>
        <w:t>1986</w:t>
      </w:r>
      <w:r w:rsidR="0058542A">
        <w:rPr>
          <w:rFonts w:cs="Arial"/>
        </w:rPr>
        <w:t xml:space="preserve">), </w:t>
      </w:r>
      <w:r w:rsidR="00B237C8">
        <w:rPr>
          <w:rFonts w:cs="Arial"/>
        </w:rPr>
        <w:t xml:space="preserve">suggests </w:t>
      </w:r>
      <w:r w:rsidR="0058542A">
        <w:rPr>
          <w:rFonts w:cs="Arial"/>
        </w:rPr>
        <w:t>that Congress generally does not intend to limit Code section 642(c) deductions the way that Congress intended to limit Code section 2055 deductions.</w:t>
      </w:r>
    </w:p>
    <w:p w:rsidR="00B161B9" w:rsidP="002B3C19" w14:paraId="65A6CE3B" w14:textId="751BF595">
      <w:pPr>
        <w:rPr>
          <w:rFonts w:cs="Arial"/>
        </w:rPr>
      </w:pPr>
      <w:r>
        <w:rPr>
          <w:rFonts w:cs="Arial"/>
        </w:rPr>
        <w:t xml:space="preserve">Lastly, if Code section 68 does apply to Code section 642(c) deductions, there </w:t>
      </w:r>
      <w:r w:rsidR="00AD7322">
        <w:rPr>
          <w:rFonts w:cs="Arial"/>
        </w:rPr>
        <w:t xml:space="preserve">is some uncertainty as to </w:t>
      </w:r>
      <w:r>
        <w:rPr>
          <w:rFonts w:cs="Arial"/>
        </w:rPr>
        <w:t xml:space="preserve">how to calculate the </w:t>
      </w:r>
      <w:r w:rsidR="00AD7322">
        <w:rPr>
          <w:rFonts w:cs="Arial"/>
        </w:rPr>
        <w:t xml:space="preserve">amount of </w:t>
      </w:r>
      <w:r w:rsidR="002B3C19">
        <w:rPr>
          <w:rFonts w:cs="Arial"/>
        </w:rPr>
        <w:t xml:space="preserve"> </w:t>
      </w:r>
      <w:r w:rsidR="00AD7322">
        <w:rPr>
          <w:rFonts w:cs="Arial"/>
        </w:rPr>
        <w:t xml:space="preserve">the </w:t>
      </w:r>
      <w:r>
        <w:rPr>
          <w:rFonts w:cs="Arial"/>
        </w:rPr>
        <w:t>Code section 642(c)</w:t>
      </w:r>
      <w:r w:rsidR="00D35DD9">
        <w:rPr>
          <w:rFonts w:cs="Arial"/>
        </w:rPr>
        <w:t xml:space="preserve">(2) set aside </w:t>
      </w:r>
      <w:r>
        <w:rPr>
          <w:rFonts w:cs="Arial"/>
        </w:rPr>
        <w:t xml:space="preserve"> deduction.</w:t>
      </w:r>
      <w:r w:rsidR="002B3C19">
        <w:rPr>
          <w:rFonts w:cs="Arial"/>
        </w:rPr>
        <w:t xml:space="preserve"> </w:t>
      </w:r>
      <w:r w:rsidR="00AD7322">
        <w:rPr>
          <w:rFonts w:cs="Arial"/>
        </w:rPr>
        <w:t xml:space="preserve"> If the income tax caused by the </w:t>
      </w:r>
      <w:r w:rsidR="00D35DD9">
        <w:rPr>
          <w:rFonts w:cs="Arial"/>
        </w:rPr>
        <w:t>d</w:t>
      </w:r>
      <w:r w:rsidR="002B3C19">
        <w:rPr>
          <w:rFonts w:cs="Arial"/>
        </w:rPr>
        <w:t>isallowance</w:t>
      </w:r>
      <w:r w:rsidR="00D35DD9">
        <w:rPr>
          <w:rFonts w:cs="Arial"/>
        </w:rPr>
        <w:t xml:space="preserve"> </w:t>
      </w:r>
      <w:r w:rsidR="00AD7322">
        <w:rPr>
          <w:rFonts w:cs="Arial"/>
        </w:rPr>
        <w:t xml:space="preserve">under Code section 68 </w:t>
      </w:r>
      <w:r w:rsidR="00D35DD9">
        <w:rPr>
          <w:rFonts w:cs="Arial"/>
        </w:rPr>
        <w:t xml:space="preserve">of a portion of the charitable deduction </w:t>
      </w:r>
      <w:r w:rsidR="002B3C19">
        <w:rPr>
          <w:rFonts w:cs="Arial"/>
        </w:rPr>
        <w:t xml:space="preserve"> </w:t>
      </w:r>
      <w:r w:rsidR="00AD7322">
        <w:rPr>
          <w:rFonts w:cs="Arial"/>
        </w:rPr>
        <w:t xml:space="preserve">reduces the amount of the set aside deduction, the calculation of the amount of the deduction </w:t>
      </w:r>
      <w:r w:rsidR="002B3C19">
        <w:rPr>
          <w:rFonts w:cs="Arial"/>
        </w:rPr>
        <w:t>could require a complicated interrelated set of calculations</w:t>
      </w:r>
      <w:r w:rsidR="00AD7322">
        <w:rPr>
          <w:rFonts w:cs="Arial"/>
        </w:rPr>
        <w:t xml:space="preserve"> involving two unknown but related variables. Per </w:t>
      </w:r>
      <w:r w:rsidRPr="00283AE7" w:rsidR="00AD7322">
        <w:rPr>
          <w:rFonts w:cs="Arial"/>
          <w:i/>
          <w:iCs/>
        </w:rPr>
        <w:t>Edwards v. Slocum</w:t>
      </w:r>
      <w:r w:rsidRPr="00EA7A87" w:rsidR="00AD7322">
        <w:rPr>
          <w:rFonts w:cs="Arial"/>
        </w:rPr>
        <w:t>, 264 U.S. 61 at 63, 44 S.Ct. 293 at 293 (1924)</w:t>
      </w:r>
      <w:r w:rsidR="00AD7322">
        <w:rPr>
          <w:rFonts w:cs="Arial"/>
        </w:rPr>
        <w:t xml:space="preserve"> cited in </w:t>
      </w:r>
      <w:r w:rsidR="00AD7322">
        <w:rPr>
          <w:rFonts w:cs="Arial"/>
          <w:i/>
          <w:iCs/>
        </w:rPr>
        <w:t xml:space="preserve">Hartwick College, </w:t>
      </w:r>
      <w:r w:rsidRPr="00EA7A87" w:rsidR="00AD7322">
        <w:rPr>
          <w:rFonts w:cs="Arial"/>
        </w:rPr>
        <w:t>“algebraic formulae are not lightly to be imputed to legislators.</w:t>
      </w:r>
      <w:r w:rsidR="00AD7322">
        <w:rPr>
          <w:rFonts w:cs="Arial"/>
        </w:rPr>
        <w:t xml:space="preserve">” </w:t>
      </w:r>
      <w:r w:rsidR="00AD7322">
        <w:rPr>
          <w:rFonts w:cs="Arial"/>
        </w:rPr>
        <w:t xml:space="preserve"> </w:t>
      </w:r>
      <w:r>
        <w:rPr>
          <w:rFonts w:cs="Arial"/>
        </w:rPr>
        <w:t xml:space="preserve">This problem does not arise in connection with the </w:t>
      </w:r>
      <w:r w:rsidR="00AD7322">
        <w:rPr>
          <w:rFonts w:cs="Arial"/>
        </w:rPr>
        <w:t xml:space="preserve">Code </w:t>
      </w:r>
      <w:r>
        <w:rPr>
          <w:rFonts w:cs="Arial"/>
        </w:rPr>
        <w:t>section 642(c)(1) deduction because the amount of that deduction is limited to the amount actually paid to charity.</w:t>
      </w:r>
      <w:r w:rsidR="00AD7322">
        <w:rPr>
          <w:rFonts w:cs="Arial"/>
        </w:rPr>
        <w:t xml:space="preserve">  The fact that the trust may have to pay income tax on a portion of what it paid to charity will not reduce the amount of the Code section 642(c)(1) deduction</w:t>
      </w:r>
      <w:r w:rsidR="0035448A">
        <w:rPr>
          <w:rFonts w:cs="Arial"/>
        </w:rPr>
        <w:t>.</w:t>
      </w:r>
    </w:p>
    <w:p w:rsidR="00AA6290" w:rsidP="002B3C19" w14:paraId="40F240F7" w14:textId="605B4BC2">
      <w:pPr>
        <w:rPr>
          <w:rFonts w:cs="Arial"/>
        </w:rPr>
      </w:pPr>
      <w:r>
        <w:rPr>
          <w:rFonts w:cs="Arial"/>
        </w:rPr>
        <w:t xml:space="preserve">The decision in </w:t>
      </w:r>
      <w:r>
        <w:rPr>
          <w:rFonts w:cs="Arial"/>
          <w:i/>
          <w:iCs/>
        </w:rPr>
        <w:t xml:space="preserve">Hartwick College </w:t>
      </w:r>
      <w:r>
        <w:rPr>
          <w:rFonts w:cs="Arial"/>
        </w:rPr>
        <w:t xml:space="preserve"> permits the Code section 642(c)(2) deduction to be calculated without reduction for income taxes that might be imposed on the amount set aside.  In that case, the income taxes to which the set aside amount </w:t>
      </w:r>
      <w:r w:rsidR="002F1A13">
        <w:rPr>
          <w:rFonts w:cs="Arial"/>
        </w:rPr>
        <w:t>was</w:t>
      </w:r>
      <w:r>
        <w:rPr>
          <w:rFonts w:cs="Arial"/>
        </w:rPr>
        <w:t xml:space="preserve"> subject were caused by the use of income to pay administration expenses that were deducted for estate tax purposes. </w:t>
      </w:r>
      <w:r w:rsidR="00B161B9">
        <w:rPr>
          <w:rFonts w:cs="Arial"/>
        </w:rPr>
        <w:t>We recommend that the IRS issue guidance consistent with th</w:t>
      </w:r>
      <w:r>
        <w:rPr>
          <w:rFonts w:cs="Arial"/>
        </w:rPr>
        <w:t xml:space="preserve">at </w:t>
      </w:r>
      <w:r w:rsidR="00B161B9">
        <w:rPr>
          <w:rFonts w:cs="Arial"/>
        </w:rPr>
        <w:t xml:space="preserve">decision  </w:t>
      </w:r>
      <w:r>
        <w:rPr>
          <w:rFonts w:cs="Arial"/>
        </w:rPr>
        <w:t xml:space="preserve">explicitly permitting </w:t>
      </w:r>
      <w:r w:rsidRPr="00D35DD9" w:rsidR="00B161B9">
        <w:rPr>
          <w:rFonts w:cs="Arial"/>
        </w:rPr>
        <w:t xml:space="preserve"> the amount of the Code section 642(c)(2)</w:t>
      </w:r>
      <w:r w:rsidR="00B161B9">
        <w:rPr>
          <w:rFonts w:cs="Arial"/>
        </w:rPr>
        <w:t xml:space="preserve"> deduction to be calculated without reduction for any income tax caused by the Code section 68 disallowance.  That would mean, for example, that an estate</w:t>
      </w:r>
      <w:r>
        <w:rPr>
          <w:rFonts w:cs="Arial"/>
        </w:rPr>
        <w:t xml:space="preserve"> with gross income of $1,000,000</w:t>
      </w:r>
      <w:r w:rsidR="00B161B9">
        <w:rPr>
          <w:rFonts w:cs="Arial"/>
        </w:rPr>
        <w:t xml:space="preserve"> the only beneficiary of which is charity would be treated as having permanently set aside $1,000,000 for charity despite the fact that the amount that is ultimately available for charity would be reduced by the income tax caused by the reduction under Code section 68 of the size of the  Code section 642(c)</w:t>
      </w:r>
      <w:r>
        <w:rPr>
          <w:rFonts w:cs="Arial"/>
        </w:rPr>
        <w:t>(2)</w:t>
      </w:r>
      <w:r w:rsidR="00B161B9">
        <w:rPr>
          <w:rFonts w:cs="Arial"/>
        </w:rPr>
        <w:t xml:space="preserve"> deduction.  </w:t>
      </w:r>
    </w:p>
    <w:p w:rsidR="002D1E90" w:rsidP="001061F5" w14:paraId="2CFB336F" w14:textId="77777777"/>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2710" w14:paraId="56B9D4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99F" w:rsidP="006A4F17" w14:paraId="00FC4828" w14:textId="5688202A">
    <w:pPr>
      <w:pStyle w:val="Footer"/>
      <w:ind w:firstLine="2160"/>
      <w:jc w:val="center"/>
    </w:pPr>
    <w:r>
      <w:tab/>
    </w:r>
    <w:sdt>
      <w:sdtPr>
        <w:rPr>
          <w:noProof/>
        </w:rPr>
        <w:id w:val="904877146"/>
        <w:docPartObj>
          <w:docPartGallery w:val="Page Numbers (Bottom of Page)"/>
          <w:docPartUnique/>
        </w:docPartObj>
      </w:sdtPr>
      <w:sdtEndPr>
        <w:rPr>
          <w:noProof/>
        </w:rPr>
      </w:sdtEndPr>
      <w:sdtContent>
        <w:r w:rsidR="0058542A">
          <w:fldChar w:fldCharType="begin"/>
        </w:r>
        <w:r w:rsidR="0058542A">
          <w:instrText xml:space="preserve"> PAGE   \* MERGEFORMAT </w:instrText>
        </w:r>
        <w:r w:rsidR="0058542A">
          <w:fldChar w:fldCharType="separate"/>
        </w:r>
        <w:r w:rsidR="0058542A">
          <w:rPr>
            <w:noProof/>
          </w:rPr>
          <w:t>11</w:t>
        </w:r>
        <w:r w:rsidR="0058542A">
          <w:rPr>
            <w:noProof/>
          </w:rPr>
          <w:fldChar w:fldCharType="end"/>
        </w:r>
        <w:r w:rsidR="00C01404">
          <w:rPr>
            <w:noProof/>
          </w:rPr>
          <w:tab/>
        </w:r>
        <w:r w:rsidRPr="006A4F17" w:rsidR="00C01404">
          <w:rPr>
            <w:noProof/>
            <w:sz w:val="16"/>
            <w:szCs w:val="16"/>
          </w:rPr>
          <w:fldChar w:fldCharType="begin"/>
        </w:r>
        <w:r w:rsidRPr="006A4F17" w:rsidR="00C01404">
          <w:rPr>
            <w:noProof/>
            <w:sz w:val="16"/>
            <w:szCs w:val="16"/>
          </w:rPr>
          <w:instrText xml:space="preserve"> FILENAME \* MERGEFORMAT </w:instrText>
        </w:r>
        <w:r w:rsidRPr="006A4F17" w:rsidR="00C01404">
          <w:rPr>
            <w:noProof/>
            <w:sz w:val="16"/>
            <w:szCs w:val="16"/>
          </w:rPr>
          <w:fldChar w:fldCharType="separate"/>
        </w:r>
        <w:r w:rsidRPr="006A4F17" w:rsidR="00C01404">
          <w:rPr>
            <w:noProof/>
            <w:sz w:val="16"/>
            <w:szCs w:val="16"/>
          </w:rPr>
          <w:t>ii3afko0.docx</w:t>
        </w:r>
        <w:r w:rsidRPr="006A4F17" w:rsidR="00C01404">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2710" w14:paraId="7F6A2F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99F" w14:paraId="57D92B4E" w14:textId="77777777">
    <w:pPr>
      <w:pStyle w:val="Header"/>
    </w:pPr>
  </w:p>
  <w:p w:rsidR="00097C58" w:rsidP="00097C58" w14:paraId="27FC180A" w14:textId="19F31531"/>
  <w:p w:rsidR="0023643A" w14:paraId="71C3323D" w14:textId="50CA9658">
    <w:r w:rsidR="009A404C">
      <w:t>34923353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99F" w14:paraId="28D5B9E2" w14:textId="77777777">
    <w:pPr>
      <w:pStyle w:val="Header"/>
    </w:pPr>
  </w:p>
  <w:p w:rsidR="00097C58" w:rsidP="00097C58" w14:paraId="03171EFB" w14:textId="6D9A233D"/>
  <w:p w:rsidR="0023643A" w14:paraId="686B3C3A" w14:textId="0B99D445">
    <w:r w:rsidR="009A404C">
      <w:t>34923353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99F" w14:paraId="255ADC2D" w14:textId="77777777">
    <w:pPr>
      <w:pStyle w:val="Header"/>
    </w:pPr>
  </w:p>
  <w:p w:rsidR="00097C58" w:rsidP="00097C58" w14:paraId="6265E68D" w14:textId="14776C60"/>
  <w:p w:rsidR="0023643A" w14:paraId="7848043C" w14:textId="23AF892F">
    <w:r w:rsidR="009A404C">
      <w:t>34923353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233BA"/>
    <w:multiLevelType w:val="hybridMultilevel"/>
    <w:tmpl w:val="ED686D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F213DE"/>
    <w:multiLevelType w:val="hybridMultilevel"/>
    <w:tmpl w:val="B044A9FC"/>
    <w:lvl w:ilvl="0">
      <w:start w:val="1"/>
      <w:numFmt w:val="decimal"/>
      <w:lvlText w:val="%1."/>
      <w:lvlJc w:val="left"/>
      <w:pPr>
        <w:ind w:left="1490" w:hanging="360"/>
      </w:pPr>
    </w:lvl>
    <w:lvl w:ilvl="1" w:tentative="1">
      <w:start w:val="1"/>
      <w:numFmt w:val="lowerLetter"/>
      <w:lvlText w:val="%2."/>
      <w:lvlJc w:val="left"/>
      <w:pPr>
        <w:ind w:left="2210" w:hanging="360"/>
      </w:pPr>
    </w:lvl>
    <w:lvl w:ilvl="2" w:tentative="1">
      <w:start w:val="1"/>
      <w:numFmt w:val="lowerRoman"/>
      <w:lvlText w:val="%3."/>
      <w:lvlJc w:val="right"/>
      <w:pPr>
        <w:ind w:left="2930" w:hanging="180"/>
      </w:pPr>
    </w:lvl>
    <w:lvl w:ilvl="3" w:tentative="1">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0C3219AA"/>
    <w:multiLevelType w:val="hybridMultilevel"/>
    <w:tmpl w:val="6A387038"/>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
    <w:nsid w:val="10386140"/>
    <w:multiLevelType w:val="hybridMultilevel"/>
    <w:tmpl w:val="7A929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AB4AD2"/>
    <w:multiLevelType w:val="hybridMultilevel"/>
    <w:tmpl w:val="6E58A8D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933D5E"/>
    <w:multiLevelType w:val="hybridMultilevel"/>
    <w:tmpl w:val="EF065A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6D4D41"/>
    <w:multiLevelType w:val="hybridMultilevel"/>
    <w:tmpl w:val="5BEA96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596415"/>
    <w:multiLevelType w:val="hybridMultilevel"/>
    <w:tmpl w:val="A018692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8C7BE0"/>
    <w:multiLevelType w:val="hybridMultilevel"/>
    <w:tmpl w:val="313ADEAA"/>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9">
    <w:nsid w:val="315A0F9B"/>
    <w:multiLevelType w:val="hybridMultilevel"/>
    <w:tmpl w:val="3672233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D01663"/>
    <w:multiLevelType w:val="hybridMultilevel"/>
    <w:tmpl w:val="107CCA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4C28A6"/>
    <w:multiLevelType w:val="hybridMultilevel"/>
    <w:tmpl w:val="313ADEAA"/>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2">
    <w:nsid w:val="57937C5E"/>
    <w:multiLevelType w:val="hybridMultilevel"/>
    <w:tmpl w:val="00FE7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D8416A"/>
    <w:multiLevelType w:val="hybridMultilevel"/>
    <w:tmpl w:val="9C0AD8B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4">
    <w:nsid w:val="5EBC24DF"/>
    <w:multiLevelType w:val="hybridMultilevel"/>
    <w:tmpl w:val="D72C49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F19066C"/>
    <w:multiLevelType w:val="hybridMultilevel"/>
    <w:tmpl w:val="39DE482E"/>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num w:numId="1">
    <w:abstractNumId w:val="9"/>
  </w:num>
  <w:num w:numId="2">
    <w:abstractNumId w:val="5"/>
  </w:num>
  <w:num w:numId="3">
    <w:abstractNumId w:val="10"/>
  </w:num>
  <w:num w:numId="4">
    <w:abstractNumId w:val="3"/>
  </w:num>
  <w:num w:numId="5">
    <w:abstractNumId w:val="7"/>
  </w:num>
  <w:num w:numId="6">
    <w:abstractNumId w:val="4"/>
  </w:num>
  <w:num w:numId="7">
    <w:abstractNumId w:val="13"/>
  </w:num>
  <w:num w:numId="8">
    <w:abstractNumId w:val="2"/>
  </w:num>
  <w:num w:numId="9">
    <w:abstractNumId w:val="1"/>
  </w:num>
  <w:num w:numId="10">
    <w:abstractNumId w:val="15"/>
  </w:num>
  <w:num w:numId="11">
    <w:abstractNumId w:val="11"/>
  </w:num>
  <w:num w:numId="12">
    <w:abstractNumId w:val="6"/>
  </w:num>
  <w:num w:numId="13">
    <w:abstractNumId w:val="12"/>
  </w:num>
  <w:num w:numId="14">
    <w:abstractNumId w:val="14"/>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74"/>
    <w:rsid w:val="00002AFF"/>
    <w:rsid w:val="00020583"/>
    <w:rsid w:val="000315BF"/>
    <w:rsid w:val="00035FB2"/>
    <w:rsid w:val="000367B8"/>
    <w:rsid w:val="0004346C"/>
    <w:rsid w:val="000451DD"/>
    <w:rsid w:val="0004520C"/>
    <w:rsid w:val="0004643A"/>
    <w:rsid w:val="00053C1D"/>
    <w:rsid w:val="00057566"/>
    <w:rsid w:val="0007548D"/>
    <w:rsid w:val="0007794A"/>
    <w:rsid w:val="000908A6"/>
    <w:rsid w:val="00090E3B"/>
    <w:rsid w:val="00096C96"/>
    <w:rsid w:val="00097C58"/>
    <w:rsid w:val="000A04B1"/>
    <w:rsid w:val="000A1A59"/>
    <w:rsid w:val="000B346E"/>
    <w:rsid w:val="000B5E11"/>
    <w:rsid w:val="000B729D"/>
    <w:rsid w:val="000C7F36"/>
    <w:rsid w:val="000E0938"/>
    <w:rsid w:val="000E59A4"/>
    <w:rsid w:val="000F3F0B"/>
    <w:rsid w:val="000F4DD8"/>
    <w:rsid w:val="001027E0"/>
    <w:rsid w:val="001061F5"/>
    <w:rsid w:val="00106AE0"/>
    <w:rsid w:val="00112B5B"/>
    <w:rsid w:val="00113B74"/>
    <w:rsid w:val="00115EAF"/>
    <w:rsid w:val="00122912"/>
    <w:rsid w:val="00133D0F"/>
    <w:rsid w:val="0013537B"/>
    <w:rsid w:val="001411FC"/>
    <w:rsid w:val="00141486"/>
    <w:rsid w:val="00142156"/>
    <w:rsid w:val="00151621"/>
    <w:rsid w:val="00155BB6"/>
    <w:rsid w:val="0016273C"/>
    <w:rsid w:val="00182144"/>
    <w:rsid w:val="00185213"/>
    <w:rsid w:val="00186647"/>
    <w:rsid w:val="0018672B"/>
    <w:rsid w:val="0019075E"/>
    <w:rsid w:val="00192568"/>
    <w:rsid w:val="00194361"/>
    <w:rsid w:val="00196A2E"/>
    <w:rsid w:val="001B44E0"/>
    <w:rsid w:val="001B55F9"/>
    <w:rsid w:val="001C3FCD"/>
    <w:rsid w:val="001C4810"/>
    <w:rsid w:val="001C7ECA"/>
    <w:rsid w:val="001F6EEC"/>
    <w:rsid w:val="00212369"/>
    <w:rsid w:val="002131DD"/>
    <w:rsid w:val="00213824"/>
    <w:rsid w:val="00213992"/>
    <w:rsid w:val="0023643A"/>
    <w:rsid w:val="00236D45"/>
    <w:rsid w:val="00243BE1"/>
    <w:rsid w:val="00253EF1"/>
    <w:rsid w:val="002574CB"/>
    <w:rsid w:val="002614D3"/>
    <w:rsid w:val="00264ED9"/>
    <w:rsid w:val="00265D5B"/>
    <w:rsid w:val="00270777"/>
    <w:rsid w:val="00283AE7"/>
    <w:rsid w:val="0029115C"/>
    <w:rsid w:val="00295DA9"/>
    <w:rsid w:val="00297144"/>
    <w:rsid w:val="002B3C19"/>
    <w:rsid w:val="002C5C2F"/>
    <w:rsid w:val="002D04B0"/>
    <w:rsid w:val="002D0E22"/>
    <w:rsid w:val="002D1E90"/>
    <w:rsid w:val="002D4FC7"/>
    <w:rsid w:val="002D624A"/>
    <w:rsid w:val="002D772C"/>
    <w:rsid w:val="002E330C"/>
    <w:rsid w:val="002F1A13"/>
    <w:rsid w:val="00300F42"/>
    <w:rsid w:val="00326848"/>
    <w:rsid w:val="00341EDD"/>
    <w:rsid w:val="00343411"/>
    <w:rsid w:val="003513F8"/>
    <w:rsid w:val="0035448A"/>
    <w:rsid w:val="0036120D"/>
    <w:rsid w:val="003759FC"/>
    <w:rsid w:val="00376830"/>
    <w:rsid w:val="0037686B"/>
    <w:rsid w:val="00377C69"/>
    <w:rsid w:val="003821F6"/>
    <w:rsid w:val="003868FB"/>
    <w:rsid w:val="00387156"/>
    <w:rsid w:val="00397D44"/>
    <w:rsid w:val="003A21B7"/>
    <w:rsid w:val="003B2964"/>
    <w:rsid w:val="003B7FA9"/>
    <w:rsid w:val="003C1C9F"/>
    <w:rsid w:val="003C4B9A"/>
    <w:rsid w:val="003C6283"/>
    <w:rsid w:val="003D3E49"/>
    <w:rsid w:val="003E157C"/>
    <w:rsid w:val="00406973"/>
    <w:rsid w:val="00414AD9"/>
    <w:rsid w:val="0042612A"/>
    <w:rsid w:val="00432B39"/>
    <w:rsid w:val="00434C1B"/>
    <w:rsid w:val="00435225"/>
    <w:rsid w:val="00437084"/>
    <w:rsid w:val="00437D65"/>
    <w:rsid w:val="004410B8"/>
    <w:rsid w:val="004504CB"/>
    <w:rsid w:val="00454273"/>
    <w:rsid w:val="0045689C"/>
    <w:rsid w:val="004643F1"/>
    <w:rsid w:val="00473159"/>
    <w:rsid w:val="004960BD"/>
    <w:rsid w:val="0049798F"/>
    <w:rsid w:val="004A53C6"/>
    <w:rsid w:val="004B4035"/>
    <w:rsid w:val="004B4BFA"/>
    <w:rsid w:val="004B528B"/>
    <w:rsid w:val="004C0715"/>
    <w:rsid w:val="004C1F8E"/>
    <w:rsid w:val="004D0C5B"/>
    <w:rsid w:val="004F35C8"/>
    <w:rsid w:val="004F794D"/>
    <w:rsid w:val="00503246"/>
    <w:rsid w:val="00504F63"/>
    <w:rsid w:val="00511A6A"/>
    <w:rsid w:val="0053284D"/>
    <w:rsid w:val="00532E99"/>
    <w:rsid w:val="00540F49"/>
    <w:rsid w:val="00550ADD"/>
    <w:rsid w:val="00554AE4"/>
    <w:rsid w:val="005642B9"/>
    <w:rsid w:val="00570B5E"/>
    <w:rsid w:val="005726C1"/>
    <w:rsid w:val="0058542A"/>
    <w:rsid w:val="00590264"/>
    <w:rsid w:val="005A387D"/>
    <w:rsid w:val="005A4A02"/>
    <w:rsid w:val="005C28D2"/>
    <w:rsid w:val="005C488D"/>
    <w:rsid w:val="005E6A53"/>
    <w:rsid w:val="005F3D8E"/>
    <w:rsid w:val="005F45B5"/>
    <w:rsid w:val="005F6D1D"/>
    <w:rsid w:val="00600351"/>
    <w:rsid w:val="00601232"/>
    <w:rsid w:val="00601C4D"/>
    <w:rsid w:val="00604E7F"/>
    <w:rsid w:val="00623226"/>
    <w:rsid w:val="00632555"/>
    <w:rsid w:val="00632710"/>
    <w:rsid w:val="00634F9D"/>
    <w:rsid w:val="0064196A"/>
    <w:rsid w:val="00652B78"/>
    <w:rsid w:val="00653D5F"/>
    <w:rsid w:val="006559AE"/>
    <w:rsid w:val="00662EEB"/>
    <w:rsid w:val="00664F12"/>
    <w:rsid w:val="00665CFD"/>
    <w:rsid w:val="00666E5B"/>
    <w:rsid w:val="00670ABC"/>
    <w:rsid w:val="00673411"/>
    <w:rsid w:val="006739C1"/>
    <w:rsid w:val="00673A6D"/>
    <w:rsid w:val="00673DA5"/>
    <w:rsid w:val="00696901"/>
    <w:rsid w:val="006A0186"/>
    <w:rsid w:val="006A185B"/>
    <w:rsid w:val="006A4F17"/>
    <w:rsid w:val="006A537E"/>
    <w:rsid w:val="006A7C11"/>
    <w:rsid w:val="006B0C18"/>
    <w:rsid w:val="006B23E2"/>
    <w:rsid w:val="006B4E7A"/>
    <w:rsid w:val="006C543D"/>
    <w:rsid w:val="006D280B"/>
    <w:rsid w:val="006D3960"/>
    <w:rsid w:val="006D59C2"/>
    <w:rsid w:val="006D5BCD"/>
    <w:rsid w:val="006E2690"/>
    <w:rsid w:val="006E762F"/>
    <w:rsid w:val="006F3AAA"/>
    <w:rsid w:val="0071205F"/>
    <w:rsid w:val="00716AF5"/>
    <w:rsid w:val="007177B2"/>
    <w:rsid w:val="007269DB"/>
    <w:rsid w:val="0073154F"/>
    <w:rsid w:val="007319EA"/>
    <w:rsid w:val="0074468E"/>
    <w:rsid w:val="007670F5"/>
    <w:rsid w:val="0078361B"/>
    <w:rsid w:val="0078732E"/>
    <w:rsid w:val="00790685"/>
    <w:rsid w:val="007917FD"/>
    <w:rsid w:val="007965F4"/>
    <w:rsid w:val="007A2D8F"/>
    <w:rsid w:val="007B026D"/>
    <w:rsid w:val="007B45C4"/>
    <w:rsid w:val="007D0B1F"/>
    <w:rsid w:val="007D1174"/>
    <w:rsid w:val="007D1EEA"/>
    <w:rsid w:val="007E3A34"/>
    <w:rsid w:val="007E6A9D"/>
    <w:rsid w:val="007E744F"/>
    <w:rsid w:val="007F5182"/>
    <w:rsid w:val="007F6C25"/>
    <w:rsid w:val="007F7ED5"/>
    <w:rsid w:val="0080561B"/>
    <w:rsid w:val="00806C0C"/>
    <w:rsid w:val="008130D5"/>
    <w:rsid w:val="008210E9"/>
    <w:rsid w:val="00825238"/>
    <w:rsid w:val="008304E0"/>
    <w:rsid w:val="008444FE"/>
    <w:rsid w:val="00847EE7"/>
    <w:rsid w:val="0085417E"/>
    <w:rsid w:val="0087050B"/>
    <w:rsid w:val="008708A5"/>
    <w:rsid w:val="0087374F"/>
    <w:rsid w:val="008751D2"/>
    <w:rsid w:val="008831E9"/>
    <w:rsid w:val="008A34F0"/>
    <w:rsid w:val="008B40FD"/>
    <w:rsid w:val="008B43FE"/>
    <w:rsid w:val="008C3841"/>
    <w:rsid w:val="008C7189"/>
    <w:rsid w:val="008D213C"/>
    <w:rsid w:val="008D5ACA"/>
    <w:rsid w:val="008E4EA7"/>
    <w:rsid w:val="008F1DD0"/>
    <w:rsid w:val="008F7489"/>
    <w:rsid w:val="00907F30"/>
    <w:rsid w:val="00924FCE"/>
    <w:rsid w:val="00931995"/>
    <w:rsid w:val="00931C65"/>
    <w:rsid w:val="00937030"/>
    <w:rsid w:val="009442CC"/>
    <w:rsid w:val="009451B2"/>
    <w:rsid w:val="0094794A"/>
    <w:rsid w:val="00947C16"/>
    <w:rsid w:val="00960C2F"/>
    <w:rsid w:val="00975308"/>
    <w:rsid w:val="00982FEA"/>
    <w:rsid w:val="0099005D"/>
    <w:rsid w:val="0099651E"/>
    <w:rsid w:val="009A0120"/>
    <w:rsid w:val="009A404C"/>
    <w:rsid w:val="009C00E4"/>
    <w:rsid w:val="009C0E99"/>
    <w:rsid w:val="009C7ADC"/>
    <w:rsid w:val="009D0CC4"/>
    <w:rsid w:val="009D22C5"/>
    <w:rsid w:val="009D276C"/>
    <w:rsid w:val="009D3DD7"/>
    <w:rsid w:val="009F7985"/>
    <w:rsid w:val="00A03404"/>
    <w:rsid w:val="00A0668D"/>
    <w:rsid w:val="00A10408"/>
    <w:rsid w:val="00A140C4"/>
    <w:rsid w:val="00A2047A"/>
    <w:rsid w:val="00A43959"/>
    <w:rsid w:val="00A45BF0"/>
    <w:rsid w:val="00A500EE"/>
    <w:rsid w:val="00A506B8"/>
    <w:rsid w:val="00A563A5"/>
    <w:rsid w:val="00A568CA"/>
    <w:rsid w:val="00A62AC3"/>
    <w:rsid w:val="00A62D71"/>
    <w:rsid w:val="00A645D4"/>
    <w:rsid w:val="00A7374F"/>
    <w:rsid w:val="00A76666"/>
    <w:rsid w:val="00A91B70"/>
    <w:rsid w:val="00A93A42"/>
    <w:rsid w:val="00AA12A4"/>
    <w:rsid w:val="00AA6290"/>
    <w:rsid w:val="00AB12C3"/>
    <w:rsid w:val="00AB7EEA"/>
    <w:rsid w:val="00AD0CFD"/>
    <w:rsid w:val="00AD4235"/>
    <w:rsid w:val="00AD7322"/>
    <w:rsid w:val="00AE6F04"/>
    <w:rsid w:val="00AF28C2"/>
    <w:rsid w:val="00B05526"/>
    <w:rsid w:val="00B0699F"/>
    <w:rsid w:val="00B1031B"/>
    <w:rsid w:val="00B161B9"/>
    <w:rsid w:val="00B237C8"/>
    <w:rsid w:val="00B33F32"/>
    <w:rsid w:val="00B40298"/>
    <w:rsid w:val="00B4167A"/>
    <w:rsid w:val="00B54A62"/>
    <w:rsid w:val="00B71634"/>
    <w:rsid w:val="00B75575"/>
    <w:rsid w:val="00B77E8A"/>
    <w:rsid w:val="00B8158D"/>
    <w:rsid w:val="00B935EF"/>
    <w:rsid w:val="00B9787C"/>
    <w:rsid w:val="00BB236E"/>
    <w:rsid w:val="00BC1982"/>
    <w:rsid w:val="00BC5C7B"/>
    <w:rsid w:val="00BC764F"/>
    <w:rsid w:val="00BD258C"/>
    <w:rsid w:val="00BD4F80"/>
    <w:rsid w:val="00C01404"/>
    <w:rsid w:val="00C176CE"/>
    <w:rsid w:val="00C23C5C"/>
    <w:rsid w:val="00C27DFC"/>
    <w:rsid w:val="00C3015A"/>
    <w:rsid w:val="00C33DB4"/>
    <w:rsid w:val="00C40069"/>
    <w:rsid w:val="00C4020D"/>
    <w:rsid w:val="00C41C01"/>
    <w:rsid w:val="00C47B9F"/>
    <w:rsid w:val="00C47C7B"/>
    <w:rsid w:val="00C551CF"/>
    <w:rsid w:val="00C55CA8"/>
    <w:rsid w:val="00C5666A"/>
    <w:rsid w:val="00C64074"/>
    <w:rsid w:val="00C6448A"/>
    <w:rsid w:val="00C67F53"/>
    <w:rsid w:val="00C71FCE"/>
    <w:rsid w:val="00C75036"/>
    <w:rsid w:val="00C752CD"/>
    <w:rsid w:val="00C75C01"/>
    <w:rsid w:val="00C76B3C"/>
    <w:rsid w:val="00C76BDC"/>
    <w:rsid w:val="00C81D19"/>
    <w:rsid w:val="00C92C27"/>
    <w:rsid w:val="00C94A4E"/>
    <w:rsid w:val="00CA3447"/>
    <w:rsid w:val="00CA3DAB"/>
    <w:rsid w:val="00CB0598"/>
    <w:rsid w:val="00CB2281"/>
    <w:rsid w:val="00CB59D2"/>
    <w:rsid w:val="00CC522C"/>
    <w:rsid w:val="00CD621C"/>
    <w:rsid w:val="00CE39DF"/>
    <w:rsid w:val="00CF2310"/>
    <w:rsid w:val="00D128C2"/>
    <w:rsid w:val="00D17F88"/>
    <w:rsid w:val="00D31179"/>
    <w:rsid w:val="00D35DD9"/>
    <w:rsid w:val="00D40068"/>
    <w:rsid w:val="00D43A4B"/>
    <w:rsid w:val="00D52461"/>
    <w:rsid w:val="00D56ADF"/>
    <w:rsid w:val="00D663C6"/>
    <w:rsid w:val="00D73309"/>
    <w:rsid w:val="00D74519"/>
    <w:rsid w:val="00D85802"/>
    <w:rsid w:val="00D860F4"/>
    <w:rsid w:val="00D938FD"/>
    <w:rsid w:val="00D97616"/>
    <w:rsid w:val="00DB1077"/>
    <w:rsid w:val="00DB25F6"/>
    <w:rsid w:val="00DC5BD5"/>
    <w:rsid w:val="00DD1136"/>
    <w:rsid w:val="00DE4455"/>
    <w:rsid w:val="00E03B2E"/>
    <w:rsid w:val="00E07691"/>
    <w:rsid w:val="00E12B5F"/>
    <w:rsid w:val="00E23481"/>
    <w:rsid w:val="00E74A43"/>
    <w:rsid w:val="00E8311C"/>
    <w:rsid w:val="00E86F1D"/>
    <w:rsid w:val="00E96A2C"/>
    <w:rsid w:val="00EA38AF"/>
    <w:rsid w:val="00EA7A87"/>
    <w:rsid w:val="00EB2937"/>
    <w:rsid w:val="00EB671D"/>
    <w:rsid w:val="00EC592D"/>
    <w:rsid w:val="00EC6E37"/>
    <w:rsid w:val="00ED163D"/>
    <w:rsid w:val="00ED1B56"/>
    <w:rsid w:val="00ED522B"/>
    <w:rsid w:val="00ED6752"/>
    <w:rsid w:val="00ED6B2F"/>
    <w:rsid w:val="00EE1B3C"/>
    <w:rsid w:val="00EE7942"/>
    <w:rsid w:val="00F04C3B"/>
    <w:rsid w:val="00F41FE1"/>
    <w:rsid w:val="00F42CF8"/>
    <w:rsid w:val="00F61B67"/>
    <w:rsid w:val="00F7304A"/>
    <w:rsid w:val="00F74E85"/>
    <w:rsid w:val="00F87CF2"/>
    <w:rsid w:val="00F935AD"/>
    <w:rsid w:val="00FB61FF"/>
    <w:rsid w:val="00FC1C05"/>
    <w:rsid w:val="00FC6909"/>
    <w:rsid w:val="00FE0ABB"/>
    <w:rsid w:val="00FE0FB9"/>
    <w:rsid w:val="00FE7E26"/>
    <w:rsid w:val="00FF0B66"/>
    <w:rsid w:val="00FF4E1C"/>
    <w:rsid w:val="00FF53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94AE5ABC-8313-424A-BBE4-C8AFA1D5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3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B74"/>
    <w:rPr>
      <w:rFonts w:eastAsiaTheme="majorEastAsia" w:cstheme="majorBidi"/>
      <w:color w:val="272727" w:themeColor="text1" w:themeTint="D8"/>
    </w:rPr>
  </w:style>
  <w:style w:type="paragraph" w:styleId="Title">
    <w:name w:val="Title"/>
    <w:basedOn w:val="Normal"/>
    <w:next w:val="Normal"/>
    <w:link w:val="TitleChar"/>
    <w:uiPriority w:val="10"/>
    <w:qFormat/>
    <w:rsid w:val="0011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B74"/>
    <w:pPr>
      <w:spacing w:before="160"/>
      <w:jc w:val="center"/>
    </w:pPr>
    <w:rPr>
      <w:i/>
      <w:iCs/>
      <w:color w:val="404040" w:themeColor="text1" w:themeTint="BF"/>
    </w:rPr>
  </w:style>
  <w:style w:type="character" w:customStyle="1" w:styleId="QuoteChar">
    <w:name w:val="Quote Char"/>
    <w:basedOn w:val="DefaultParagraphFont"/>
    <w:link w:val="Quote"/>
    <w:uiPriority w:val="29"/>
    <w:rsid w:val="00113B74"/>
    <w:rPr>
      <w:i/>
      <w:iCs/>
      <w:color w:val="404040" w:themeColor="text1" w:themeTint="BF"/>
    </w:rPr>
  </w:style>
  <w:style w:type="paragraph" w:styleId="ListParagraph">
    <w:name w:val="List Paragraph"/>
    <w:basedOn w:val="Normal"/>
    <w:link w:val="ListParagraphChar"/>
    <w:uiPriority w:val="34"/>
    <w:qFormat/>
    <w:rsid w:val="00113B74"/>
    <w:pPr>
      <w:ind w:left="720"/>
      <w:contextualSpacing/>
    </w:pPr>
  </w:style>
  <w:style w:type="character" w:styleId="IntenseEmphasis">
    <w:name w:val="Intense Emphasis"/>
    <w:basedOn w:val="DefaultParagraphFont"/>
    <w:uiPriority w:val="21"/>
    <w:qFormat/>
    <w:rsid w:val="00113B74"/>
    <w:rPr>
      <w:i/>
      <w:iCs/>
      <w:color w:val="0F4761" w:themeColor="accent1" w:themeShade="BF"/>
    </w:rPr>
  </w:style>
  <w:style w:type="paragraph" w:styleId="IntenseQuote">
    <w:name w:val="Intense Quote"/>
    <w:basedOn w:val="Normal"/>
    <w:next w:val="Normal"/>
    <w:link w:val="IntenseQuoteChar"/>
    <w:uiPriority w:val="30"/>
    <w:qFormat/>
    <w:rsid w:val="00113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B74"/>
    <w:rPr>
      <w:i/>
      <w:iCs/>
      <w:color w:val="0F4761" w:themeColor="accent1" w:themeShade="BF"/>
    </w:rPr>
  </w:style>
  <w:style w:type="character" w:styleId="IntenseReference">
    <w:name w:val="Intense Reference"/>
    <w:basedOn w:val="DefaultParagraphFont"/>
    <w:uiPriority w:val="32"/>
    <w:qFormat/>
    <w:rsid w:val="00113B74"/>
    <w:rPr>
      <w:b/>
      <w:bCs/>
      <w:smallCaps/>
      <w:color w:val="0F4761" w:themeColor="accent1" w:themeShade="BF"/>
      <w:spacing w:val="5"/>
    </w:rPr>
  </w:style>
  <w:style w:type="paragraph" w:styleId="FootnoteText">
    <w:name w:val="footnote text"/>
    <w:basedOn w:val="Normal"/>
    <w:link w:val="FootnoteTextChar"/>
    <w:uiPriority w:val="99"/>
    <w:semiHidden/>
    <w:unhideWhenUsed/>
    <w:rsid w:val="004A5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3C6"/>
    <w:rPr>
      <w:sz w:val="20"/>
      <w:szCs w:val="20"/>
    </w:rPr>
  </w:style>
  <w:style w:type="character" w:styleId="FootnoteReference">
    <w:name w:val="footnote reference"/>
    <w:basedOn w:val="DefaultParagraphFont"/>
    <w:semiHidden/>
    <w:unhideWhenUsed/>
    <w:rsid w:val="004A53C6"/>
    <w:rPr>
      <w:vertAlign w:val="superscript"/>
    </w:rPr>
  </w:style>
  <w:style w:type="paragraph" w:styleId="Header">
    <w:name w:val="header"/>
    <w:basedOn w:val="Normal"/>
    <w:link w:val="HeaderChar"/>
    <w:uiPriority w:val="99"/>
    <w:unhideWhenUsed/>
    <w:rsid w:val="00B0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99F"/>
  </w:style>
  <w:style w:type="paragraph" w:styleId="Footer">
    <w:name w:val="footer"/>
    <w:basedOn w:val="Normal"/>
    <w:link w:val="FooterChar"/>
    <w:uiPriority w:val="99"/>
    <w:unhideWhenUsed/>
    <w:rsid w:val="00B0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99F"/>
  </w:style>
  <w:style w:type="paragraph" w:customStyle="1" w:styleId="DocumentID">
    <w:name w:val="DocumentID"/>
    <w:next w:val="Normal"/>
    <w:link w:val="DocumentIDChar"/>
    <w:rsid w:val="00097C58"/>
    <w:pPr>
      <w:framePr w:w="864" w:h="187" w:hRule="exact" w:wrap="around" w:vAnchor="page" w:hAnchor="page" w:x="1441" w:y="14933" w:anchorLock="1"/>
      <w:spacing w:after="0" w:line="240" w:lineRule="auto"/>
    </w:pPr>
    <w:rPr>
      <w:rFonts w:ascii="Aptos" w:hAnsi="Aptos"/>
      <w:bCs/>
      <w:kern w:val="0"/>
      <w:sz w:val="16"/>
      <w14:ligatures w14:val="none"/>
    </w:rPr>
  </w:style>
  <w:style w:type="character" w:customStyle="1" w:styleId="ListParagraphChar">
    <w:name w:val="List Paragraph Char"/>
    <w:basedOn w:val="DefaultParagraphFont"/>
    <w:link w:val="ListParagraph"/>
    <w:uiPriority w:val="34"/>
    <w:rsid w:val="00B0699F"/>
  </w:style>
  <w:style w:type="character" w:customStyle="1" w:styleId="DocumentIDChar">
    <w:name w:val="DocumentID Char"/>
    <w:basedOn w:val="ListParagraphChar"/>
    <w:link w:val="DocumentID"/>
    <w:rsid w:val="00097C58"/>
    <w:rPr>
      <w:rFonts w:ascii="Aptos" w:hAnsi="Aptos"/>
      <w:bCs/>
      <w:kern w:val="0"/>
      <w:sz w:val="16"/>
      <w14:ligatures w14:val="none"/>
    </w:rPr>
  </w:style>
  <w:style w:type="paragraph" w:styleId="Revision">
    <w:name w:val="Revision"/>
    <w:hidden/>
    <w:uiPriority w:val="99"/>
    <w:semiHidden/>
    <w:rsid w:val="00115EAF"/>
    <w:pPr>
      <w:spacing w:after="0" w:line="240" w:lineRule="auto"/>
    </w:pPr>
  </w:style>
  <w:style w:type="character" w:styleId="CommentReference">
    <w:name w:val="annotation reference"/>
    <w:basedOn w:val="DefaultParagraphFont"/>
    <w:uiPriority w:val="99"/>
    <w:semiHidden/>
    <w:unhideWhenUsed/>
    <w:rsid w:val="003B2964"/>
    <w:rPr>
      <w:sz w:val="16"/>
      <w:szCs w:val="16"/>
    </w:rPr>
  </w:style>
  <w:style w:type="paragraph" w:styleId="CommentText">
    <w:name w:val="annotation text"/>
    <w:basedOn w:val="Normal"/>
    <w:link w:val="CommentTextChar"/>
    <w:uiPriority w:val="99"/>
    <w:unhideWhenUsed/>
    <w:rsid w:val="003B2964"/>
    <w:pPr>
      <w:spacing w:line="240" w:lineRule="auto"/>
    </w:pPr>
    <w:rPr>
      <w:sz w:val="20"/>
      <w:szCs w:val="20"/>
    </w:rPr>
  </w:style>
  <w:style w:type="character" w:customStyle="1" w:styleId="CommentTextChar">
    <w:name w:val="Comment Text Char"/>
    <w:basedOn w:val="DefaultParagraphFont"/>
    <w:link w:val="CommentText"/>
    <w:uiPriority w:val="99"/>
    <w:rsid w:val="003B2964"/>
    <w:rPr>
      <w:sz w:val="20"/>
      <w:szCs w:val="20"/>
    </w:rPr>
  </w:style>
  <w:style w:type="paragraph" w:styleId="CommentSubject">
    <w:name w:val="annotation subject"/>
    <w:basedOn w:val="CommentText"/>
    <w:next w:val="CommentText"/>
    <w:link w:val="CommentSubjectChar"/>
    <w:uiPriority w:val="99"/>
    <w:semiHidden/>
    <w:unhideWhenUsed/>
    <w:rsid w:val="003B2964"/>
    <w:rPr>
      <w:b/>
      <w:bCs/>
    </w:rPr>
  </w:style>
  <w:style w:type="character" w:customStyle="1" w:styleId="CommentSubjectChar">
    <w:name w:val="Comment Subject Char"/>
    <w:basedOn w:val="CommentTextChar"/>
    <w:link w:val="CommentSubject"/>
    <w:uiPriority w:val="99"/>
    <w:semiHidden/>
    <w:rsid w:val="003B2964"/>
    <w:rPr>
      <w:b/>
      <w:bCs/>
      <w:sz w:val="20"/>
      <w:szCs w:val="20"/>
    </w:rPr>
  </w:style>
  <w:style w:type="table" w:styleId="TableGrid">
    <w:name w:val="Table Grid"/>
    <w:basedOn w:val="TableNormal"/>
    <w:uiPriority w:val="39"/>
    <w:rsid w:val="00EA7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752997F97F341989C54F5449FB29D" ma:contentTypeVersion="15" ma:contentTypeDescription="Create a new document." ma:contentTypeScope="" ma:versionID="461992bb7314c32d5aa5b7fdb95ab500">
  <xsd:schema xmlns:xsd="http://www.w3.org/2001/XMLSchema" xmlns:xs="http://www.w3.org/2001/XMLSchema" xmlns:p="http://schemas.microsoft.com/office/2006/metadata/properties" xmlns:ns2="1687fa3a-f38c-462f-b190-c50a9ef97bdd" xmlns:ns3="e78fcaad-ce92-4163-b664-b4f73c8c6902" targetNamespace="http://schemas.microsoft.com/office/2006/metadata/properties" ma:root="true" ma:fieldsID="4cfe672a977dd261a394291ea2712f69" ns2:_="" ns3:_="">
    <xsd:import namespace="1687fa3a-f38c-462f-b190-c50a9ef97bdd"/>
    <xsd:import namespace="e78fcaad-ce92-4163-b664-b4f73c8c69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fa3a-f38c-462f-b190-c50a9ef97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1427262e-297e-4f0a-b7a1-f680939db043}" ma:internalName="TaxCatchAll" ma:showField="CatchAllData" ma:web="1687fa3a-f38c-462f-b190-c50a9ef97bd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8fcaad-ce92-4163-b664-b4f73c8c69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87ad4f-e3a2-4d1f-84c8-7a62262533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DMS!34923353.14</documentid>
  <senderid>SGORIN</senderid>
  <senderemail>SGORIN@THOMPSONCOBURN.COM</senderemail>
  <lastmodified>2025-10-06T12:11:00.0000000-05:00</lastmodified>
  <database>DMS</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LS!315768703.1</documentid>
  <senderid>KAUF6356</senderid>
  <senderemail>BKAUFMAN@LOWENSTEIN.COM</senderemail>
  <lastmodified>2025-08-22T18:44:00.0000000-04:00</lastmodified>
  <database>LS</database>
</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1687fa3a-f38c-462f-b190-c50a9ef97bdd" xsi:nil="true"/>
    <lcf76f155ced4ddcb4097134ff3c332f xmlns="e78fcaad-ce92-4163-b664-b4f73c8c6902">
      <Terms xmlns="http://schemas.microsoft.com/office/infopath/2007/PartnerControls"/>
    </lcf76f155ced4ddcb4097134ff3c332f>
    <_dlc_DocId xmlns="1687fa3a-f38c-462f-b190-c50a9ef97bdd">XQXYFMWU25ES-760338723-237881</_dlc_DocId>
    <_dlc_DocIdUrl xmlns="1687fa3a-f38c-462f-b190-c50a9ef97bdd">
      <Url>https://bgi365.sharepoint.com/sites/Dallas/_layouts/15/DocIdRedir.aspx?ID=XQXYFMWU25ES-760338723-237881</Url>
      <Description>XQXYFMWU25ES-760338723-237881</Description>
    </_dlc_DocIdUrl>
  </documentManagement>
</p:properties>
</file>

<file path=customXml/itemProps1.xml><?xml version="1.0" encoding="utf-8"?>
<ds:datastoreItem xmlns:ds="http://schemas.openxmlformats.org/officeDocument/2006/customXml" ds:itemID="{FEA934F9-370C-4C8B-A8D4-506A0FC5D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fa3a-f38c-462f-b190-c50a9ef97bdd"/>
    <ds:schemaRef ds:uri="e78fcaad-ce92-4163-b664-b4f73c8c6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CF002-8362-4CA2-ADFE-61C9D8853D0A}">
  <ds:schemaRefs>
    <ds:schemaRef ds:uri="http://www.imanage.com/work/xmlschema"/>
  </ds:schemaRefs>
</ds:datastoreItem>
</file>

<file path=customXml/itemProps3.xml><?xml version="1.0" encoding="utf-8"?>
<ds:datastoreItem xmlns:ds="http://schemas.openxmlformats.org/officeDocument/2006/customXml" ds:itemID="{AEC6EA78-CA39-4FF5-941B-8B42E4070ECE}">
  <ds:schemaRefs>
    <ds:schemaRef ds:uri="http://schemas.microsoft.com/sharepoint/v3/contenttype/forms"/>
  </ds:schemaRefs>
</ds:datastoreItem>
</file>

<file path=customXml/itemProps4.xml><?xml version="1.0" encoding="utf-8"?>
<ds:datastoreItem xmlns:ds="http://schemas.openxmlformats.org/officeDocument/2006/customXml" ds:itemID="{56FBE0CB-C984-41D5-B1F7-F26550503967}">
  <ds:schemaRefs>
    <ds:schemaRef ds:uri="http://schemas.openxmlformats.org/officeDocument/2006/bibliography"/>
  </ds:schemaRefs>
</ds:datastoreItem>
</file>

<file path=customXml/itemProps5.xml><?xml version="1.0" encoding="utf-8"?>
<ds:datastoreItem xmlns:ds="http://schemas.openxmlformats.org/officeDocument/2006/customXml" ds:itemID="{74785E88-21C7-44F7-A226-2E185BD62BCA}">
  <ds:schemaRefs>
    <ds:schemaRef ds:uri="http://www.imanage.com/work/xmlschema"/>
  </ds:schemaRefs>
</ds:datastoreItem>
</file>

<file path=customXml/itemProps6.xml><?xml version="1.0" encoding="utf-8"?>
<ds:datastoreItem xmlns:ds="http://schemas.openxmlformats.org/officeDocument/2006/customXml" ds:itemID="{20359811-E2D5-4926-B22B-1F21A2F3C778}">
  <ds:schemaRefs>
    <ds:schemaRef ds:uri="http://schemas.microsoft.com/sharepoint/events"/>
  </ds:schemaRefs>
</ds:datastoreItem>
</file>

<file path=customXml/itemProps7.xml><?xml version="1.0" encoding="utf-8"?>
<ds:datastoreItem xmlns:ds="http://schemas.openxmlformats.org/officeDocument/2006/customXml" ds:itemID="{324CB28B-F43B-4E2D-9A63-E026A4B99ECC}">
  <ds:schemaRefs>
    <ds:schemaRef ds:uri="http://schemas.microsoft.com/office/2006/metadata/properties"/>
    <ds:schemaRef ds:uri="http://schemas.microsoft.com/office/infopath/2007/PartnerControls"/>
    <ds:schemaRef ds:uri="1687fa3a-f38c-462f-b190-c50a9ef97bdd"/>
    <ds:schemaRef ds:uri="e78fcaad-ce92-4163-b664-b4f73c8c6902"/>
  </ds:schemaRefs>
</ds:datastoreItem>
</file>

<file path=docMetadata/LabelInfo.xml><?xml version="1.0" encoding="utf-8"?>
<clbl:labelList xmlns:clbl="http://schemas.microsoft.com/office/2020/mipLabelMetadata">
  <clbl:label id="{539c611a-8032-457b-b371-a99182228eef}" enabled="0" method="" siteId="{539c611a-8032-457b-b371-a99182228ee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3816</Words>
  <Characters>19734</Characters>
  <Application>Microsoft Office Word</Application>
  <DocSecurity>0</DocSecurity>
  <Lines>328</Lines>
  <Paragraphs>90</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cp:revision>1</cp:revision>
  <dcterms:created xsi:type="dcterms:W3CDTF">2025-10-08T21:44:51Z</dcterms:created>
  <dcterms:modified xsi:type="dcterms:W3CDTF">2025-10-08T21:44:51Z</dcterms:modified>
</cp:coreProperties>
</file>