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CD2" w:rsidRPr="009C6C3C" w:rsidRDefault="00425F88" w:rsidP="009C6C3C">
      <w:pPr>
        <w:jc w:val="center"/>
        <w:rPr>
          <w:rFonts w:ascii="Times New Roman" w:hAnsi="Times New Roman" w:cs="Times New Roman"/>
          <w:b/>
          <w:sz w:val="24"/>
          <w:szCs w:val="24"/>
        </w:rPr>
      </w:pPr>
      <w:r w:rsidRPr="009C6C3C">
        <w:rPr>
          <w:rFonts w:ascii="Times New Roman" w:hAnsi="Times New Roman" w:cs="Times New Roman"/>
          <w:b/>
          <w:sz w:val="24"/>
          <w:szCs w:val="24"/>
        </w:rPr>
        <w:t>Family Limited Partnerships and Section 2036: Not Such a Good Fit</w:t>
      </w:r>
    </w:p>
    <w:p w:rsidR="00276A1D" w:rsidRDefault="00276A1D" w:rsidP="009C6C3C">
      <w:pPr>
        <w:jc w:val="center"/>
        <w:rPr>
          <w:rFonts w:ascii="Times New Roman" w:hAnsi="Times New Roman" w:cs="Times New Roman"/>
          <w:b/>
          <w:sz w:val="24"/>
          <w:szCs w:val="24"/>
        </w:rPr>
      </w:pPr>
      <w:r w:rsidRPr="009C6C3C">
        <w:rPr>
          <w:rFonts w:ascii="Times New Roman" w:hAnsi="Times New Roman" w:cs="Times New Roman"/>
          <w:b/>
          <w:sz w:val="24"/>
          <w:szCs w:val="24"/>
        </w:rPr>
        <w:t>By: Mitchell M. Gans and Jonathan G. Blattmachr</w:t>
      </w:r>
      <w:r w:rsidR="009C6C3C">
        <w:rPr>
          <w:rStyle w:val="FootnoteReference"/>
          <w:rFonts w:ascii="Times New Roman" w:hAnsi="Times New Roman" w:cs="Times New Roman"/>
          <w:b/>
          <w:sz w:val="24"/>
          <w:szCs w:val="24"/>
        </w:rPr>
        <w:footnoteReference w:customMarkFollows="1" w:id="2"/>
        <w:t>*</w:t>
      </w:r>
    </w:p>
    <w:p w:rsidR="006E2CD2" w:rsidRPr="00D32014" w:rsidRDefault="009C6C3C" w:rsidP="009C6C3C">
      <w:pPr>
        <w:jc w:val="center"/>
        <w:rPr>
          <w:rFonts w:ascii="Times New Roman" w:hAnsi="Times New Roman" w:cs="Times New Roman"/>
          <w:smallCaps/>
          <w:sz w:val="24"/>
          <w:szCs w:val="24"/>
        </w:rPr>
      </w:pPr>
      <w:r w:rsidRPr="00D32014">
        <w:rPr>
          <w:rFonts w:ascii="Times New Roman" w:hAnsi="Times New Roman" w:cs="Times New Roman"/>
          <w:smallCaps/>
          <w:sz w:val="24"/>
          <w:szCs w:val="24"/>
        </w:rPr>
        <w:t>Introduction</w:t>
      </w:r>
    </w:p>
    <w:p w:rsidR="006E2CD2" w:rsidRPr="009C6C3C" w:rsidRDefault="006E2CD2" w:rsidP="006E2CD2">
      <w:pPr>
        <w:rPr>
          <w:rFonts w:ascii="Times New Roman" w:hAnsi="Times New Roman" w:cs="Times New Roman"/>
          <w:sz w:val="24"/>
          <w:szCs w:val="24"/>
        </w:rPr>
      </w:pPr>
      <w:r w:rsidRPr="009C6C3C">
        <w:rPr>
          <w:rFonts w:ascii="Times New Roman" w:hAnsi="Times New Roman" w:cs="Times New Roman"/>
          <w:sz w:val="24"/>
          <w:szCs w:val="24"/>
        </w:rPr>
        <w:t xml:space="preserve">Use of family limited partnerships to achieve estate-tax discounts is a very common estate-planning strategy.  The IRS has tried to close </w:t>
      </w:r>
      <w:r w:rsidR="009C6C3C" w:rsidRPr="009C6C3C">
        <w:rPr>
          <w:rFonts w:ascii="Times New Roman" w:hAnsi="Times New Roman" w:cs="Times New Roman"/>
          <w:sz w:val="24"/>
          <w:szCs w:val="24"/>
        </w:rPr>
        <w:t>it down</w:t>
      </w:r>
      <w:r w:rsidRPr="009C6C3C">
        <w:rPr>
          <w:rFonts w:ascii="Times New Roman" w:hAnsi="Times New Roman" w:cs="Times New Roman"/>
          <w:sz w:val="24"/>
          <w:szCs w:val="24"/>
        </w:rPr>
        <w:t xml:space="preserve"> in the case of abusive partnerships.  At first, the courts were not accommodating, rejecting various arguments that the IRS had asserted.  Eventually, the courts embraced a novel argument: that the partnerships could in effect be disregarded and the discounts denied under section 2036.  While this section of the Code was certainly not drafted with such partnerships in mind, it has become the IRS’s most effective weapon in its battle against abusive partnerships.  But since the fit between the section and partnerships is less than perfect, the courts have had to reexamine or adjust conventional principles to maintain the effectiveness of the section in the partnership context.  </w:t>
      </w:r>
    </w:p>
    <w:p w:rsidR="006E2CD2" w:rsidRPr="009C6C3C" w:rsidRDefault="006E2CD2" w:rsidP="006E2CD2">
      <w:pPr>
        <w:rPr>
          <w:rFonts w:ascii="Times New Roman" w:hAnsi="Times New Roman" w:cs="Times New Roman"/>
          <w:sz w:val="24"/>
          <w:szCs w:val="24"/>
        </w:rPr>
      </w:pPr>
      <w:r w:rsidRPr="009C6C3C">
        <w:rPr>
          <w:rFonts w:ascii="Times New Roman" w:hAnsi="Times New Roman" w:cs="Times New Roman"/>
          <w:sz w:val="24"/>
          <w:szCs w:val="24"/>
        </w:rPr>
        <w:t xml:space="preserve">In its recent decision in </w:t>
      </w:r>
      <w:r w:rsidRPr="009C6C3C">
        <w:rPr>
          <w:rFonts w:ascii="Times New Roman" w:hAnsi="Times New Roman" w:cs="Times New Roman"/>
          <w:i/>
          <w:sz w:val="24"/>
          <w:szCs w:val="24"/>
        </w:rPr>
        <w:t>Powell</w:t>
      </w:r>
      <w:r w:rsidRPr="009C6C3C">
        <w:rPr>
          <w:rFonts w:ascii="Times New Roman" w:hAnsi="Times New Roman" w:cs="Times New Roman"/>
          <w:sz w:val="24"/>
          <w:szCs w:val="24"/>
        </w:rPr>
        <w:t>,</w:t>
      </w:r>
      <w:r w:rsidR="009C6C3C">
        <w:rPr>
          <w:rStyle w:val="FootnoteReference"/>
          <w:rFonts w:ascii="Times New Roman" w:hAnsi="Times New Roman" w:cs="Times New Roman"/>
          <w:sz w:val="24"/>
          <w:szCs w:val="24"/>
        </w:rPr>
        <w:footnoteReference w:id="3"/>
      </w:r>
      <w:r w:rsidRPr="009C6C3C">
        <w:rPr>
          <w:rFonts w:ascii="Times New Roman" w:hAnsi="Times New Roman" w:cs="Times New Roman"/>
          <w:sz w:val="24"/>
          <w:szCs w:val="24"/>
        </w:rPr>
        <w:t xml:space="preserve"> the Tax Court grappled with two such principles in the context of a difficult-to-defend deathbed partnership.  First, it revisited a theme first sounded by the court fourteen years ago in its well-known decision in </w:t>
      </w:r>
      <w:r w:rsidRPr="00D345FA">
        <w:rPr>
          <w:rFonts w:ascii="Times New Roman" w:hAnsi="Times New Roman" w:cs="Times New Roman"/>
          <w:i/>
          <w:sz w:val="24"/>
          <w:szCs w:val="24"/>
        </w:rPr>
        <w:t>Strangi</w:t>
      </w:r>
      <w:r w:rsidRPr="009C6C3C">
        <w:rPr>
          <w:rFonts w:ascii="Times New Roman" w:hAnsi="Times New Roman" w:cs="Times New Roman"/>
          <w:sz w:val="24"/>
          <w:szCs w:val="24"/>
        </w:rPr>
        <w:t>,</w:t>
      </w:r>
      <w:r w:rsidR="00D345FA">
        <w:rPr>
          <w:rStyle w:val="FootnoteReference"/>
          <w:rFonts w:ascii="Times New Roman" w:hAnsi="Times New Roman" w:cs="Times New Roman"/>
          <w:sz w:val="24"/>
          <w:szCs w:val="24"/>
        </w:rPr>
        <w:footnoteReference w:id="4"/>
      </w:r>
      <w:r w:rsidRPr="009C6C3C">
        <w:rPr>
          <w:rFonts w:ascii="Times New Roman" w:hAnsi="Times New Roman" w:cs="Times New Roman"/>
          <w:sz w:val="24"/>
          <w:szCs w:val="24"/>
        </w:rPr>
        <w:t xml:space="preserve"> where in dicta the court indicated that, despite the Supreme Court decision in </w:t>
      </w:r>
      <w:r w:rsidRPr="00D345FA">
        <w:rPr>
          <w:rFonts w:ascii="Times New Roman" w:hAnsi="Times New Roman" w:cs="Times New Roman"/>
          <w:i/>
          <w:sz w:val="24"/>
          <w:szCs w:val="24"/>
        </w:rPr>
        <w:t>Byrum</w:t>
      </w:r>
      <w:r w:rsidRPr="009C6C3C">
        <w:rPr>
          <w:rFonts w:ascii="Times New Roman" w:hAnsi="Times New Roman" w:cs="Times New Roman"/>
          <w:sz w:val="24"/>
          <w:szCs w:val="24"/>
        </w:rPr>
        <w:t>,</w:t>
      </w:r>
      <w:r w:rsidR="00D32014">
        <w:rPr>
          <w:rStyle w:val="FootnoteReference"/>
          <w:rFonts w:ascii="Times New Roman" w:hAnsi="Times New Roman" w:cs="Times New Roman"/>
          <w:sz w:val="24"/>
          <w:szCs w:val="24"/>
        </w:rPr>
        <w:footnoteReference w:id="5"/>
      </w:r>
      <w:r w:rsidRPr="009C6C3C">
        <w:rPr>
          <w:rFonts w:ascii="Times New Roman" w:hAnsi="Times New Roman" w:cs="Times New Roman"/>
          <w:sz w:val="24"/>
          <w:szCs w:val="24"/>
        </w:rPr>
        <w:t xml:space="preserve"> a partnership could be disregarded and discounts denied under section 2036(a)(2).  While the courts have not elaborated on this theme to any significant extent in the intervening years, fifteen Tax Court judges in </w:t>
      </w:r>
      <w:r w:rsidRPr="00D32014">
        <w:rPr>
          <w:rFonts w:ascii="Times New Roman" w:hAnsi="Times New Roman" w:cs="Times New Roman"/>
          <w:i/>
          <w:sz w:val="24"/>
          <w:szCs w:val="24"/>
        </w:rPr>
        <w:t>Powell</w:t>
      </w:r>
      <w:r w:rsidRPr="009C6C3C">
        <w:rPr>
          <w:rFonts w:ascii="Times New Roman" w:hAnsi="Times New Roman" w:cs="Times New Roman"/>
          <w:sz w:val="24"/>
          <w:szCs w:val="24"/>
        </w:rPr>
        <w:t xml:space="preserve"> have now endorsed the </w:t>
      </w:r>
      <w:r w:rsidRPr="00D32014">
        <w:rPr>
          <w:rFonts w:ascii="Times New Roman" w:hAnsi="Times New Roman" w:cs="Times New Roman"/>
          <w:i/>
          <w:sz w:val="24"/>
          <w:szCs w:val="24"/>
        </w:rPr>
        <w:t>Strangi</w:t>
      </w:r>
      <w:r w:rsidRPr="009C6C3C">
        <w:rPr>
          <w:rFonts w:ascii="Times New Roman" w:hAnsi="Times New Roman" w:cs="Times New Roman"/>
          <w:sz w:val="24"/>
          <w:szCs w:val="24"/>
        </w:rPr>
        <w:t xml:space="preserve"> theme.  In doing so, it will be argued, </w:t>
      </w:r>
      <w:r w:rsidRPr="00D32014">
        <w:rPr>
          <w:rFonts w:ascii="Times New Roman" w:hAnsi="Times New Roman" w:cs="Times New Roman"/>
          <w:i/>
          <w:sz w:val="24"/>
          <w:szCs w:val="24"/>
        </w:rPr>
        <w:t xml:space="preserve">Powell </w:t>
      </w:r>
      <w:r w:rsidRPr="009C6C3C">
        <w:rPr>
          <w:rFonts w:ascii="Times New Roman" w:hAnsi="Times New Roman" w:cs="Times New Roman"/>
          <w:sz w:val="24"/>
          <w:szCs w:val="24"/>
        </w:rPr>
        <w:t xml:space="preserve">conflates the majority opinion in </w:t>
      </w:r>
      <w:r w:rsidRPr="00D32014">
        <w:rPr>
          <w:rFonts w:ascii="Times New Roman" w:hAnsi="Times New Roman" w:cs="Times New Roman"/>
          <w:i/>
          <w:sz w:val="24"/>
          <w:szCs w:val="24"/>
        </w:rPr>
        <w:t>Byrum</w:t>
      </w:r>
      <w:r w:rsidRPr="009C6C3C">
        <w:rPr>
          <w:rFonts w:ascii="Times New Roman" w:hAnsi="Times New Roman" w:cs="Times New Roman"/>
          <w:sz w:val="24"/>
          <w:szCs w:val="24"/>
        </w:rPr>
        <w:t xml:space="preserve"> with the dissent.  It reads the majority opinion as having established a standard, rather than a bright-line rule, as the methodology for implementing the provision – when, in fact, it was the dissenting justices who argued for a standard-based methodology.  Nonetheless, given the importance of a fifteen-judge consensus, it is time to reconsider the issue -- and for practitioners to adapt their planning strategies to accommodate this new line of attack that the IRS will presumably be pursuing.    </w:t>
      </w:r>
    </w:p>
    <w:p w:rsidR="006E2CD2" w:rsidRPr="009C6C3C" w:rsidRDefault="006E2CD2" w:rsidP="006E2CD2">
      <w:pPr>
        <w:rPr>
          <w:rFonts w:ascii="Times New Roman" w:hAnsi="Times New Roman" w:cs="Times New Roman"/>
          <w:sz w:val="24"/>
          <w:szCs w:val="24"/>
        </w:rPr>
      </w:pPr>
      <w:r w:rsidRPr="009C6C3C">
        <w:rPr>
          <w:rFonts w:ascii="Times New Roman" w:hAnsi="Times New Roman" w:cs="Times New Roman"/>
          <w:sz w:val="24"/>
          <w:szCs w:val="24"/>
        </w:rPr>
        <w:t xml:space="preserve">Second, the </w:t>
      </w:r>
      <w:r w:rsidRPr="00D32014">
        <w:rPr>
          <w:rFonts w:ascii="Times New Roman" w:hAnsi="Times New Roman" w:cs="Times New Roman"/>
          <w:i/>
          <w:sz w:val="24"/>
          <w:szCs w:val="24"/>
        </w:rPr>
        <w:t>Powell</w:t>
      </w:r>
      <w:r w:rsidRPr="009C6C3C">
        <w:rPr>
          <w:rFonts w:ascii="Times New Roman" w:hAnsi="Times New Roman" w:cs="Times New Roman"/>
          <w:sz w:val="24"/>
          <w:szCs w:val="24"/>
        </w:rPr>
        <w:t xml:space="preserve"> court grappled with the applicability of section 2043 in the context of a partnership that runs afoul of section 2036.  Simply put, the question concerns the treatment of partnership units received by the decedent in exchange for a partnership interest: how to avoid including in the gross estate the units as well as the partnership assets.  The </w:t>
      </w:r>
      <w:r w:rsidRPr="00D32014">
        <w:rPr>
          <w:rFonts w:ascii="Times New Roman" w:hAnsi="Times New Roman" w:cs="Times New Roman"/>
          <w:i/>
          <w:sz w:val="24"/>
          <w:szCs w:val="24"/>
        </w:rPr>
        <w:t>Powell</w:t>
      </w:r>
      <w:r w:rsidRPr="009C6C3C">
        <w:rPr>
          <w:rFonts w:ascii="Times New Roman" w:hAnsi="Times New Roman" w:cs="Times New Roman"/>
          <w:sz w:val="24"/>
          <w:szCs w:val="24"/>
        </w:rPr>
        <w:t xml:space="preserve"> majority applied section 2043.  While doing so effectively avoided a double inclusion, it conceded that in other cases its approach could produce problematic outcomes.  The concurring opinion, in contrast, rejected the application of section 2043, arguing instead that the partnership units should be disregarded once it is determined that the partnership assets are subject to inclusion.</w:t>
      </w:r>
    </w:p>
    <w:p w:rsidR="006E2CD2" w:rsidRPr="009C6C3C" w:rsidRDefault="006E2CD2" w:rsidP="006E2CD2">
      <w:pPr>
        <w:rPr>
          <w:rFonts w:ascii="Times New Roman" w:hAnsi="Times New Roman" w:cs="Times New Roman"/>
          <w:sz w:val="24"/>
          <w:szCs w:val="24"/>
        </w:rPr>
      </w:pPr>
      <w:r w:rsidRPr="009C6C3C">
        <w:rPr>
          <w:rFonts w:ascii="Times New Roman" w:hAnsi="Times New Roman" w:cs="Times New Roman"/>
          <w:sz w:val="24"/>
          <w:szCs w:val="24"/>
        </w:rPr>
        <w:t xml:space="preserve">This article will explore </w:t>
      </w:r>
      <w:r w:rsidRPr="00D32014">
        <w:rPr>
          <w:rFonts w:ascii="Times New Roman" w:hAnsi="Times New Roman" w:cs="Times New Roman"/>
          <w:i/>
          <w:sz w:val="24"/>
          <w:szCs w:val="24"/>
        </w:rPr>
        <w:t>Powell</w:t>
      </w:r>
      <w:r w:rsidRPr="009C6C3C">
        <w:rPr>
          <w:rFonts w:ascii="Times New Roman" w:hAnsi="Times New Roman" w:cs="Times New Roman"/>
          <w:sz w:val="24"/>
          <w:szCs w:val="24"/>
        </w:rPr>
        <w:t xml:space="preserve"> and its implications.  Before concluding, some planning suggestions will be provided for practitioners who are concerned about the possible application of section 2036(a)(2) in light of the court’s approach.  </w:t>
      </w:r>
    </w:p>
    <w:p w:rsidR="006E2CD2" w:rsidRPr="009C6C3C" w:rsidRDefault="006E2CD2" w:rsidP="0055738E">
      <w:pPr>
        <w:autoSpaceDE w:val="0"/>
        <w:autoSpaceDN w:val="0"/>
        <w:adjustRightInd w:val="0"/>
        <w:spacing w:after="0" w:line="240" w:lineRule="auto"/>
        <w:rPr>
          <w:rFonts w:ascii="Times New Roman" w:hAnsi="Times New Roman" w:cs="Times New Roman"/>
          <w:sz w:val="24"/>
          <w:szCs w:val="24"/>
          <w:lang w:val="en-CA"/>
        </w:rPr>
      </w:pPr>
    </w:p>
    <w:p w:rsidR="0055738E" w:rsidRPr="00D32014" w:rsidRDefault="0055738E" w:rsidP="00D32014">
      <w:pPr>
        <w:pStyle w:val="ListParagraph"/>
        <w:numPr>
          <w:ilvl w:val="0"/>
          <w:numId w:val="1"/>
        </w:numPr>
        <w:autoSpaceDE w:val="0"/>
        <w:autoSpaceDN w:val="0"/>
        <w:adjustRightInd w:val="0"/>
        <w:spacing w:after="0" w:line="240" w:lineRule="auto"/>
        <w:rPr>
          <w:rFonts w:ascii="Times New Roman" w:hAnsi="Times New Roman" w:cs="Times New Roman"/>
          <w:sz w:val="24"/>
          <w:szCs w:val="24"/>
          <w:lang w:val="en-CA"/>
        </w:rPr>
      </w:pPr>
      <w:r w:rsidRPr="00D32014">
        <w:rPr>
          <w:rFonts w:ascii="Times New Roman" w:hAnsi="Times New Roman" w:cs="Times New Roman"/>
          <w:i/>
          <w:sz w:val="24"/>
          <w:szCs w:val="24"/>
          <w:lang w:val="en-CA"/>
        </w:rPr>
        <w:t>Powell</w:t>
      </w:r>
      <w:r w:rsidRPr="00D32014">
        <w:rPr>
          <w:rFonts w:ascii="Times New Roman" w:hAnsi="Times New Roman" w:cs="Times New Roman"/>
          <w:sz w:val="24"/>
          <w:szCs w:val="24"/>
          <w:lang w:val="en-CA"/>
        </w:rPr>
        <w:t xml:space="preserve"> Facts</w:t>
      </w:r>
      <w:r w:rsidR="00422800" w:rsidRPr="00D32014">
        <w:rPr>
          <w:rFonts w:ascii="Times New Roman" w:hAnsi="Times New Roman" w:cs="Times New Roman"/>
          <w:sz w:val="24"/>
          <w:szCs w:val="24"/>
          <w:lang w:val="en-CA"/>
        </w:rPr>
        <w:t xml:space="preserve"> and the Issues before the Court</w:t>
      </w:r>
    </w:p>
    <w:p w:rsidR="007432D1" w:rsidRPr="00D32014" w:rsidRDefault="007432D1" w:rsidP="0055738E">
      <w:pPr>
        <w:autoSpaceDE w:val="0"/>
        <w:autoSpaceDN w:val="0"/>
        <w:adjustRightInd w:val="0"/>
        <w:spacing w:after="0" w:line="240" w:lineRule="auto"/>
        <w:rPr>
          <w:rFonts w:ascii="Times New Roman" w:hAnsi="Times New Roman" w:cs="Times New Roman"/>
          <w:sz w:val="24"/>
          <w:szCs w:val="24"/>
          <w:lang w:val="en-CA"/>
        </w:rPr>
      </w:pPr>
    </w:p>
    <w:p w:rsidR="007432D1" w:rsidRPr="00D32014" w:rsidRDefault="007432D1" w:rsidP="00D32014">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en-CA"/>
        </w:rPr>
      </w:pPr>
      <w:r w:rsidRPr="00D32014">
        <w:rPr>
          <w:rFonts w:ascii="Times New Roman" w:hAnsi="Times New Roman" w:cs="Times New Roman"/>
          <w:sz w:val="24"/>
          <w:szCs w:val="24"/>
          <w:lang w:val="en-CA"/>
        </w:rPr>
        <w:t>Facts</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lang w:val="en-CA"/>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lang w:val="en-CA"/>
        </w:rPr>
        <w:fldChar w:fldCharType="begin"/>
      </w:r>
      <w:r w:rsidRPr="009C6C3C">
        <w:rPr>
          <w:rFonts w:ascii="Times New Roman" w:hAnsi="Times New Roman" w:cs="Times New Roman"/>
          <w:sz w:val="24"/>
          <w:szCs w:val="24"/>
          <w:lang w:val="en-CA"/>
        </w:rPr>
        <w:instrText xml:space="preserve"> SEQ CHAPTER \h \r 1</w:instrText>
      </w:r>
      <w:r w:rsidRPr="009C6C3C">
        <w:rPr>
          <w:rFonts w:ascii="Times New Roman" w:hAnsi="Times New Roman" w:cs="Times New Roman"/>
          <w:sz w:val="24"/>
          <w:szCs w:val="24"/>
          <w:lang w:val="en-CA"/>
        </w:rPr>
        <w:fldChar w:fldCharType="end"/>
      </w:r>
      <w:r w:rsidRPr="009C6C3C">
        <w:rPr>
          <w:rFonts w:ascii="Times New Roman" w:hAnsi="Times New Roman" w:cs="Times New Roman"/>
          <w:sz w:val="24"/>
          <w:szCs w:val="24"/>
        </w:rPr>
        <w:t>One week before the decedent’s death, her agent under a power of attorney withdrew approximately $10 million in cash and marketable securities from her revocable trust and contributed these assets to a limited partnership in exchange for a 99% limited partnership interest.  The decedent’s son was the general partner, having contributed a promissory note to the partnership in exchange for his interest.  The son formed the partnership by filing the necessary certificate with the appropriate state authority two days before the contribution of the decedent’s assets was effected.  At the time of the transfer, the decedent was apparently incapacitated.</w:t>
      </w:r>
      <w:r w:rsidR="001818E4" w:rsidRPr="009C6C3C">
        <w:rPr>
          <w:rStyle w:val="FootnoteReference"/>
          <w:rFonts w:ascii="Times New Roman" w:hAnsi="Times New Roman" w:cs="Times New Roman"/>
          <w:sz w:val="24"/>
          <w:szCs w:val="24"/>
        </w:rPr>
        <w:footnoteReference w:id="6"/>
      </w:r>
      <w:r w:rsidRPr="009C6C3C">
        <w:rPr>
          <w:rFonts w:ascii="Times New Roman" w:hAnsi="Times New Roman" w:cs="Times New Roman"/>
          <w:sz w:val="24"/>
          <w:szCs w:val="24"/>
        </w:rPr>
        <w:t xml:space="preserve"> While, under the partnership agreement, the son, as general partner, had exclusive authority to determine the timing and amount of distributions, dissolution of the partnership could only be accomplished with the written consent of all partners, including the decedent – i.e., the consent of both the decedent and her son was required to effect a dissolution.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Either before the partnership was created or at about the same time, the decedent gave her son the power of attorney.  On the same day the decedent’s assets were transferred to the partnership, the son again used the power of attorney to transfer the decedent’s entire limited partnership interest to a CLAT.</w:t>
      </w:r>
      <w:r w:rsidR="00F05D52">
        <w:rPr>
          <w:rStyle w:val="FootnoteReference"/>
          <w:rFonts w:ascii="Times New Roman" w:hAnsi="Times New Roman" w:cs="Times New Roman"/>
          <w:sz w:val="24"/>
          <w:szCs w:val="24"/>
        </w:rPr>
        <w:footnoteReference w:id="7"/>
      </w:r>
      <w:r w:rsidRPr="009C6C3C">
        <w:rPr>
          <w:rFonts w:ascii="Times New Roman" w:hAnsi="Times New Roman" w:cs="Times New Roman"/>
          <w:sz w:val="24"/>
          <w:szCs w:val="24"/>
        </w:rPr>
        <w:t xml:space="preserve">  Under the terms of the CLAT, the decedent’s son and his sibling were entitled to the remainder on the death of the decedent.  </w:t>
      </w:r>
    </w:p>
    <w:p w:rsidR="007432D1" w:rsidRPr="009C6C3C" w:rsidRDefault="007432D1" w:rsidP="0055738E">
      <w:pPr>
        <w:autoSpaceDE w:val="0"/>
        <w:autoSpaceDN w:val="0"/>
        <w:adjustRightInd w:val="0"/>
        <w:spacing w:after="0" w:line="240" w:lineRule="auto"/>
        <w:rPr>
          <w:rFonts w:ascii="Times New Roman" w:hAnsi="Times New Roman" w:cs="Times New Roman"/>
          <w:sz w:val="24"/>
          <w:szCs w:val="24"/>
        </w:rPr>
      </w:pPr>
    </w:p>
    <w:p w:rsidR="007432D1" w:rsidRPr="00D32014" w:rsidRDefault="007432D1" w:rsidP="00D3201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32014">
        <w:rPr>
          <w:rFonts w:ascii="Times New Roman" w:hAnsi="Times New Roman" w:cs="Times New Roman"/>
          <w:sz w:val="24"/>
          <w:szCs w:val="24"/>
        </w:rPr>
        <w:t>Issues before the Court</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The court resolved four issues on</w:t>
      </w:r>
      <w:r w:rsidR="004C46B6" w:rsidRPr="009C6C3C">
        <w:rPr>
          <w:rFonts w:ascii="Times New Roman" w:hAnsi="Times New Roman" w:cs="Times New Roman"/>
          <w:sz w:val="24"/>
          <w:szCs w:val="24"/>
        </w:rPr>
        <w:t xml:space="preserve"> the</w:t>
      </w:r>
      <w:r w:rsidRPr="009C6C3C">
        <w:rPr>
          <w:rFonts w:ascii="Times New Roman" w:hAnsi="Times New Roman" w:cs="Times New Roman"/>
          <w:sz w:val="24"/>
          <w:szCs w:val="24"/>
        </w:rPr>
        <w:t xml:space="preserve"> summary judgment motion: 1) whether the value of the partnership’s assets had to be included in the decedent’s gross estate; 2) how</w:t>
      </w:r>
      <w:r w:rsidR="00470B49" w:rsidRPr="009C6C3C">
        <w:rPr>
          <w:rFonts w:ascii="Times New Roman" w:hAnsi="Times New Roman" w:cs="Times New Roman"/>
          <w:sz w:val="24"/>
          <w:szCs w:val="24"/>
        </w:rPr>
        <w:t xml:space="preserve">, if the assets </w:t>
      </w:r>
      <w:r w:rsidR="007432D1" w:rsidRPr="009C6C3C">
        <w:rPr>
          <w:rFonts w:ascii="Times New Roman" w:hAnsi="Times New Roman" w:cs="Times New Roman"/>
          <w:sz w:val="24"/>
          <w:szCs w:val="24"/>
        </w:rPr>
        <w:t>were</w:t>
      </w:r>
      <w:r w:rsidR="00470B49" w:rsidRPr="009C6C3C">
        <w:rPr>
          <w:rFonts w:ascii="Times New Roman" w:hAnsi="Times New Roman" w:cs="Times New Roman"/>
          <w:sz w:val="24"/>
          <w:szCs w:val="24"/>
        </w:rPr>
        <w:t xml:space="preserve"> included,</w:t>
      </w:r>
      <w:r w:rsidRPr="009C6C3C">
        <w:rPr>
          <w:rFonts w:ascii="Times New Roman" w:hAnsi="Times New Roman" w:cs="Times New Roman"/>
          <w:sz w:val="24"/>
          <w:szCs w:val="24"/>
        </w:rPr>
        <w:t xml:space="preserve"> to apply section 2043 in calculating the amount of the </w:t>
      </w:r>
      <w:r w:rsidR="00FB7492" w:rsidRPr="009C6C3C">
        <w:rPr>
          <w:rFonts w:ascii="Times New Roman" w:hAnsi="Times New Roman" w:cs="Times New Roman"/>
          <w:sz w:val="24"/>
          <w:szCs w:val="24"/>
        </w:rPr>
        <w:t xml:space="preserve">net </w:t>
      </w:r>
      <w:r w:rsidRPr="009C6C3C">
        <w:rPr>
          <w:rFonts w:ascii="Times New Roman" w:hAnsi="Times New Roman" w:cs="Times New Roman"/>
          <w:sz w:val="24"/>
          <w:szCs w:val="24"/>
        </w:rPr>
        <w:t xml:space="preserve">inclusion under section 2036 or 2035; 3) whether the limited partnership units transferred to the CLAT were includible in the decedent’s gross estate; and 4) whether the transfer of the limited partnership units to the CLAT constituted a taxable gift.  </w:t>
      </w:r>
    </w:p>
    <w:p w:rsidR="007432D1" w:rsidRPr="009C6C3C" w:rsidRDefault="007432D1" w:rsidP="0055738E">
      <w:pPr>
        <w:autoSpaceDE w:val="0"/>
        <w:autoSpaceDN w:val="0"/>
        <w:adjustRightInd w:val="0"/>
        <w:spacing w:after="0" w:line="240" w:lineRule="auto"/>
        <w:rPr>
          <w:rFonts w:ascii="Times New Roman" w:hAnsi="Times New Roman" w:cs="Times New Roman"/>
          <w:sz w:val="24"/>
          <w:szCs w:val="24"/>
        </w:rPr>
      </w:pPr>
    </w:p>
    <w:p w:rsidR="007432D1" w:rsidRPr="00D32014" w:rsidRDefault="007432D1" w:rsidP="00D3201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32014">
        <w:rPr>
          <w:rFonts w:ascii="Times New Roman" w:hAnsi="Times New Roman" w:cs="Times New Roman"/>
          <w:sz w:val="24"/>
          <w:szCs w:val="24"/>
        </w:rPr>
        <w:t>IRS Arguments</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The IRS argued that the partnership’s assets had to be included in the decedent’s gross estate under section 2036(a)(1)</w:t>
      </w:r>
      <w:r w:rsidR="001818E4" w:rsidRPr="009C6C3C">
        <w:rPr>
          <w:rFonts w:ascii="Times New Roman" w:hAnsi="Times New Roman" w:cs="Times New Roman"/>
          <w:sz w:val="24"/>
          <w:szCs w:val="24"/>
        </w:rPr>
        <w:t>,</w:t>
      </w:r>
      <w:r w:rsidRPr="009C6C3C">
        <w:rPr>
          <w:rFonts w:ascii="Times New Roman" w:hAnsi="Times New Roman" w:cs="Times New Roman"/>
          <w:sz w:val="24"/>
          <w:szCs w:val="24"/>
        </w:rPr>
        <w:t xml:space="preserve"> 2036(a)(2)</w:t>
      </w:r>
      <w:r w:rsidR="001818E4" w:rsidRPr="009C6C3C">
        <w:rPr>
          <w:rFonts w:ascii="Times New Roman" w:hAnsi="Times New Roman" w:cs="Times New Roman"/>
          <w:sz w:val="24"/>
          <w:szCs w:val="24"/>
        </w:rPr>
        <w:t xml:space="preserve"> or section 2038</w:t>
      </w:r>
      <w:r w:rsidRPr="009C6C3C">
        <w:rPr>
          <w:rFonts w:ascii="Times New Roman" w:hAnsi="Times New Roman" w:cs="Times New Roman"/>
          <w:sz w:val="24"/>
          <w:szCs w:val="24"/>
        </w:rPr>
        <w:t xml:space="preserve">, </w:t>
      </w:r>
      <w:r w:rsidR="001818E4" w:rsidRPr="009C6C3C">
        <w:rPr>
          <w:rFonts w:ascii="Times New Roman" w:hAnsi="Times New Roman" w:cs="Times New Roman"/>
          <w:sz w:val="24"/>
          <w:szCs w:val="24"/>
        </w:rPr>
        <w:t xml:space="preserve">which would have the effect of </w:t>
      </w:r>
      <w:r w:rsidRPr="009C6C3C">
        <w:rPr>
          <w:rFonts w:ascii="Times New Roman" w:hAnsi="Times New Roman" w:cs="Times New Roman"/>
          <w:sz w:val="24"/>
          <w:szCs w:val="24"/>
        </w:rPr>
        <w:t xml:space="preserve">eliminating the discount the estate had </w:t>
      </w:r>
      <w:r w:rsidR="004C46B6" w:rsidRPr="009C6C3C">
        <w:rPr>
          <w:rFonts w:ascii="Times New Roman" w:hAnsi="Times New Roman" w:cs="Times New Roman"/>
          <w:sz w:val="24"/>
          <w:szCs w:val="24"/>
        </w:rPr>
        <w:t>claimed</w:t>
      </w:r>
      <w:r w:rsidRPr="009C6C3C">
        <w:rPr>
          <w:rFonts w:ascii="Times New Roman" w:hAnsi="Times New Roman" w:cs="Times New Roman"/>
          <w:sz w:val="24"/>
          <w:szCs w:val="24"/>
        </w:rPr>
        <w:t xml:space="preserve">.  The IRS also argued that gift tax was due in connection with the funding of the CLAT.  </w:t>
      </w:r>
    </w:p>
    <w:p w:rsidR="007432D1" w:rsidRPr="009C6C3C" w:rsidRDefault="007432D1" w:rsidP="0055738E">
      <w:pPr>
        <w:autoSpaceDE w:val="0"/>
        <w:autoSpaceDN w:val="0"/>
        <w:adjustRightInd w:val="0"/>
        <w:spacing w:after="0" w:line="240" w:lineRule="auto"/>
        <w:rPr>
          <w:rFonts w:ascii="Times New Roman" w:hAnsi="Times New Roman" w:cs="Times New Roman"/>
          <w:sz w:val="24"/>
          <w:szCs w:val="24"/>
        </w:rPr>
      </w:pPr>
    </w:p>
    <w:p w:rsidR="007432D1" w:rsidRPr="00456F82" w:rsidRDefault="007432D1" w:rsidP="00456F8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456F82">
        <w:rPr>
          <w:rFonts w:ascii="Times New Roman" w:hAnsi="Times New Roman" w:cs="Times New Roman"/>
          <w:sz w:val="24"/>
          <w:szCs w:val="24"/>
        </w:rPr>
        <w:t>Estate’s Concessions</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The estate made two critical concessions.  First, it agreed that the decedent’s ability to cause a dissolution of the partnership by joining together with her son, the other partner, could serve as a predicate for inclusion under section 2036(a)(2): She had retained the right in conjunction with her son to control the possession or enjoyment of the transferred property through dissolution.  Second, the estate conceded that the decedent’s transfer of cash and marketable securities to the partnership did not qualify for the bona fide exception in section 2036 (i.e., the estate did not argue that the transfer to the partnership was a bona fide sale for adequate and full consideration).  The only argument the estate advanced in its attempt to avoid section 2036(a)(2) inclusion was that the decedent, having transferred her limited partnership units to the CLAT before her death, did not own the units at her death and therefore did not retain the right to effect a dissolution for her life, as the section requires.  </w:t>
      </w:r>
    </w:p>
    <w:p w:rsidR="00EF2DD5" w:rsidRPr="009C6C3C" w:rsidRDefault="00EF2DD5" w:rsidP="0055738E">
      <w:pPr>
        <w:autoSpaceDE w:val="0"/>
        <w:autoSpaceDN w:val="0"/>
        <w:adjustRightInd w:val="0"/>
        <w:spacing w:after="0" w:line="240" w:lineRule="auto"/>
        <w:rPr>
          <w:rFonts w:ascii="Times New Roman" w:hAnsi="Times New Roman" w:cs="Times New Roman"/>
          <w:sz w:val="24"/>
          <w:szCs w:val="24"/>
        </w:rPr>
      </w:pPr>
    </w:p>
    <w:p w:rsidR="00EF2DD5" w:rsidRPr="00456F82" w:rsidRDefault="00EF2DD5" w:rsidP="00456F8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456F82">
        <w:rPr>
          <w:rFonts w:ascii="Times New Roman" w:hAnsi="Times New Roman" w:cs="Times New Roman"/>
          <w:sz w:val="24"/>
          <w:szCs w:val="24"/>
        </w:rPr>
        <w:t>Court’s Analysis: Overview</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Utilizing the estate’s concessions, the court held that section 2036(a)(2) applied, obviating the need to consider inclusion under section 2036(a)(1)</w:t>
      </w:r>
      <w:r w:rsidR="001818E4" w:rsidRPr="009C6C3C">
        <w:rPr>
          <w:rFonts w:ascii="Times New Roman" w:hAnsi="Times New Roman" w:cs="Times New Roman"/>
          <w:sz w:val="24"/>
          <w:szCs w:val="24"/>
        </w:rPr>
        <w:t xml:space="preserve"> or section 2038</w:t>
      </w:r>
      <w:r w:rsidRPr="009C6C3C">
        <w:rPr>
          <w:rFonts w:ascii="Times New Roman" w:hAnsi="Times New Roman" w:cs="Times New Roman"/>
          <w:sz w:val="24"/>
          <w:szCs w:val="24"/>
        </w:rPr>
        <w:t>.</w:t>
      </w:r>
      <w:r w:rsidR="002E4DD7" w:rsidRPr="009C6C3C">
        <w:rPr>
          <w:rStyle w:val="FootnoteReference"/>
          <w:rFonts w:ascii="Times New Roman" w:hAnsi="Times New Roman" w:cs="Times New Roman"/>
          <w:sz w:val="24"/>
          <w:szCs w:val="24"/>
        </w:rPr>
        <w:t xml:space="preserve"> </w:t>
      </w:r>
      <w:r w:rsidR="002E4DD7" w:rsidRPr="009C6C3C">
        <w:rPr>
          <w:rStyle w:val="FootnoteReference"/>
          <w:rFonts w:ascii="Times New Roman" w:hAnsi="Times New Roman" w:cs="Times New Roman"/>
          <w:sz w:val="24"/>
          <w:szCs w:val="24"/>
        </w:rPr>
        <w:footnoteReference w:id="8"/>
      </w:r>
      <w:r w:rsidRPr="009C6C3C">
        <w:rPr>
          <w:rFonts w:ascii="Times New Roman" w:hAnsi="Times New Roman" w:cs="Times New Roman"/>
          <w:sz w:val="24"/>
          <w:szCs w:val="24"/>
        </w:rPr>
        <w:t xml:space="preserve">  The court rejected the estate’s argument that the decedent had not retained the right</w:t>
      </w:r>
      <w:r w:rsidR="001818E4" w:rsidRPr="009C6C3C">
        <w:rPr>
          <w:rFonts w:ascii="Times New Roman" w:hAnsi="Times New Roman" w:cs="Times New Roman"/>
          <w:sz w:val="24"/>
          <w:szCs w:val="24"/>
        </w:rPr>
        <w:t>s</w:t>
      </w:r>
      <w:r w:rsidRPr="009C6C3C">
        <w:rPr>
          <w:rFonts w:ascii="Times New Roman" w:hAnsi="Times New Roman" w:cs="Times New Roman"/>
          <w:sz w:val="24"/>
          <w:szCs w:val="24"/>
        </w:rPr>
        <w:t xml:space="preserve"> </w:t>
      </w:r>
      <w:r w:rsidR="001818E4" w:rsidRPr="009C6C3C">
        <w:rPr>
          <w:rFonts w:ascii="Times New Roman" w:hAnsi="Times New Roman" w:cs="Times New Roman"/>
          <w:sz w:val="24"/>
          <w:szCs w:val="24"/>
        </w:rPr>
        <w:t>within the scope of section 2036(a)(2)</w:t>
      </w:r>
      <w:r w:rsidRPr="009C6C3C">
        <w:rPr>
          <w:rFonts w:ascii="Times New Roman" w:hAnsi="Times New Roman" w:cs="Times New Roman"/>
          <w:sz w:val="24"/>
          <w:szCs w:val="24"/>
        </w:rPr>
        <w:t xml:space="preserve"> on two alternative grounds.  First, the court held that the transfer of the partnership units to the CLAT was either void or </w:t>
      </w:r>
      <w:r w:rsidR="00811B6D">
        <w:rPr>
          <w:rFonts w:ascii="Times New Roman" w:hAnsi="Times New Roman" w:cs="Times New Roman"/>
          <w:sz w:val="24"/>
          <w:szCs w:val="24"/>
        </w:rPr>
        <w:t>voidable</w:t>
      </w:r>
      <w:r w:rsidRPr="009C6C3C">
        <w:rPr>
          <w:rFonts w:ascii="Times New Roman" w:hAnsi="Times New Roman" w:cs="Times New Roman"/>
          <w:sz w:val="24"/>
          <w:szCs w:val="24"/>
        </w:rPr>
        <w:t xml:space="preserve"> given that the gift was not within the scope of the agent’s authority under state law.</w:t>
      </w:r>
      <w:r w:rsidR="00E715DC" w:rsidRPr="009C6C3C">
        <w:rPr>
          <w:rStyle w:val="FootnoteReference"/>
          <w:rFonts w:ascii="Times New Roman" w:hAnsi="Times New Roman" w:cs="Times New Roman"/>
          <w:sz w:val="24"/>
          <w:szCs w:val="24"/>
        </w:rPr>
        <w:footnoteReference w:id="9"/>
      </w:r>
      <w:r w:rsidRPr="009C6C3C">
        <w:rPr>
          <w:rFonts w:ascii="Times New Roman" w:hAnsi="Times New Roman" w:cs="Times New Roman"/>
          <w:sz w:val="24"/>
          <w:szCs w:val="24"/>
        </w:rPr>
        <w:t xml:space="preserve">  </w:t>
      </w:r>
      <w:r w:rsidR="00FB7492" w:rsidRPr="009C6C3C">
        <w:rPr>
          <w:rFonts w:ascii="Times New Roman" w:hAnsi="Times New Roman" w:cs="Times New Roman"/>
          <w:sz w:val="24"/>
          <w:szCs w:val="24"/>
        </w:rPr>
        <w:t xml:space="preserve">In either case, the decedent should be treated as owning the units on the date of death and therefore holding whatever rights inhered in the units.  </w:t>
      </w:r>
      <w:r w:rsidRPr="009C6C3C">
        <w:rPr>
          <w:rFonts w:ascii="Times New Roman" w:hAnsi="Times New Roman" w:cs="Times New Roman"/>
          <w:sz w:val="24"/>
          <w:szCs w:val="24"/>
        </w:rPr>
        <w:t xml:space="preserve">Second, </w:t>
      </w:r>
      <w:r w:rsidR="002E4DD7" w:rsidRPr="009C6C3C">
        <w:rPr>
          <w:rFonts w:ascii="Times New Roman" w:hAnsi="Times New Roman" w:cs="Times New Roman"/>
          <w:sz w:val="24"/>
          <w:szCs w:val="24"/>
        </w:rPr>
        <w:t xml:space="preserve">the court held that, </w:t>
      </w:r>
      <w:r w:rsidRPr="009C6C3C">
        <w:rPr>
          <w:rFonts w:ascii="Times New Roman" w:hAnsi="Times New Roman" w:cs="Times New Roman"/>
          <w:sz w:val="24"/>
          <w:szCs w:val="24"/>
        </w:rPr>
        <w:t>assuming the gift</w:t>
      </w:r>
      <w:r w:rsidR="002E4DD7" w:rsidRPr="009C6C3C">
        <w:rPr>
          <w:rFonts w:ascii="Times New Roman" w:hAnsi="Times New Roman" w:cs="Times New Roman"/>
          <w:sz w:val="24"/>
          <w:szCs w:val="24"/>
        </w:rPr>
        <w:t xml:space="preserve"> </w:t>
      </w:r>
      <w:r w:rsidRPr="009C6C3C">
        <w:rPr>
          <w:rFonts w:ascii="Times New Roman" w:hAnsi="Times New Roman" w:cs="Times New Roman"/>
          <w:sz w:val="24"/>
          <w:szCs w:val="24"/>
        </w:rPr>
        <w:t xml:space="preserve">was valid, the partnership </w:t>
      </w:r>
      <w:r w:rsidR="002E4DD7" w:rsidRPr="009C6C3C">
        <w:rPr>
          <w:rFonts w:ascii="Times New Roman" w:hAnsi="Times New Roman" w:cs="Times New Roman"/>
          <w:sz w:val="24"/>
          <w:szCs w:val="24"/>
        </w:rPr>
        <w:t>assets</w:t>
      </w:r>
      <w:r w:rsidRPr="009C6C3C">
        <w:rPr>
          <w:rFonts w:ascii="Times New Roman" w:hAnsi="Times New Roman" w:cs="Times New Roman"/>
          <w:sz w:val="24"/>
          <w:szCs w:val="24"/>
        </w:rPr>
        <w:t xml:space="preserve"> would still be included in the gross estate under section 2035 provided that section 2036(a)(2) would have </w:t>
      </w:r>
      <w:r w:rsidR="002E4DD7" w:rsidRPr="009C6C3C">
        <w:rPr>
          <w:rFonts w:ascii="Times New Roman" w:hAnsi="Times New Roman" w:cs="Times New Roman"/>
          <w:sz w:val="24"/>
          <w:szCs w:val="24"/>
        </w:rPr>
        <w:t>required such inclusion</w:t>
      </w:r>
      <w:r w:rsidRPr="009C6C3C">
        <w:rPr>
          <w:rFonts w:ascii="Times New Roman" w:hAnsi="Times New Roman" w:cs="Times New Roman"/>
          <w:sz w:val="24"/>
          <w:szCs w:val="24"/>
        </w:rPr>
        <w:t xml:space="preserve"> had the decedent not made the transfer</w:t>
      </w:r>
      <w:r w:rsidR="00BF6278" w:rsidRPr="009C6C3C">
        <w:rPr>
          <w:rFonts w:ascii="Times New Roman" w:hAnsi="Times New Roman" w:cs="Times New Roman"/>
          <w:sz w:val="24"/>
          <w:szCs w:val="24"/>
        </w:rPr>
        <w:t xml:space="preserve"> to the CLAT</w:t>
      </w:r>
      <w:r w:rsidR="00E715DC" w:rsidRPr="009C6C3C">
        <w:rPr>
          <w:rStyle w:val="FootnoteReference"/>
          <w:rFonts w:ascii="Times New Roman" w:hAnsi="Times New Roman" w:cs="Times New Roman"/>
          <w:sz w:val="24"/>
          <w:szCs w:val="24"/>
        </w:rPr>
        <w:footnoteReference w:id="10"/>
      </w:r>
      <w:r w:rsidRPr="009C6C3C">
        <w:rPr>
          <w:rFonts w:ascii="Times New Roman" w:hAnsi="Times New Roman" w:cs="Times New Roman"/>
          <w:sz w:val="24"/>
          <w:szCs w:val="24"/>
        </w:rPr>
        <w:t xml:space="preserve">– a transfer that had occurred one week before death and therefore within section 2035's three-year window.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The court did not explain its rationale for focusing exclusively on section 2036(a)(2).  It is possible that the court concluded that inclusion under section 2036(a)(1) would be questionable – perhaps because no distributions had been made to the decedent during the one-week period between partnership formation and her death and that, therefore, the basis for a finding of an implied understanding concerning distributions to the decedent would have been tenuous.</w:t>
      </w:r>
      <w:r w:rsidR="00D060C1" w:rsidRPr="009C6C3C">
        <w:rPr>
          <w:rStyle w:val="FootnoteReference"/>
          <w:rFonts w:ascii="Times New Roman" w:hAnsi="Times New Roman" w:cs="Times New Roman"/>
          <w:sz w:val="24"/>
          <w:szCs w:val="24"/>
        </w:rPr>
        <w:footnoteReference w:id="11"/>
      </w:r>
      <w:r w:rsidRPr="009C6C3C">
        <w:rPr>
          <w:rFonts w:ascii="Times New Roman" w:hAnsi="Times New Roman" w:cs="Times New Roman"/>
          <w:sz w:val="24"/>
          <w:szCs w:val="24"/>
        </w:rPr>
        <w:t xml:space="preserve">  Or perhaps the court wanted to use this clearly abusive case – a deathbed partnership with no non-tax purpose – as a vehicle to establish a clear precedent concerning the applicability of section 2036(a)(2).</w:t>
      </w:r>
      <w:r w:rsidR="002E4DD7" w:rsidRPr="009C6C3C">
        <w:rPr>
          <w:rStyle w:val="FootnoteReference"/>
          <w:rFonts w:ascii="Times New Roman" w:hAnsi="Times New Roman" w:cs="Times New Roman"/>
          <w:sz w:val="24"/>
          <w:szCs w:val="24"/>
        </w:rPr>
        <w:footnoteReference w:id="12"/>
      </w:r>
      <w:r w:rsidRPr="009C6C3C">
        <w:rPr>
          <w:rFonts w:ascii="Times New Roman" w:hAnsi="Times New Roman" w:cs="Times New Roman"/>
          <w:sz w:val="24"/>
          <w:szCs w:val="24"/>
        </w:rPr>
        <w:t xml:space="preserve">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In any event, in invoking section 2035, the court turned to the question whether section 2036 would have </w:t>
      </w:r>
      <w:r w:rsidR="00FB7492" w:rsidRPr="009C6C3C">
        <w:rPr>
          <w:rFonts w:ascii="Times New Roman" w:hAnsi="Times New Roman" w:cs="Times New Roman"/>
          <w:sz w:val="24"/>
          <w:szCs w:val="24"/>
        </w:rPr>
        <w:t xml:space="preserve">applied </w:t>
      </w:r>
      <w:r w:rsidR="00972C1B" w:rsidRPr="009C6C3C">
        <w:rPr>
          <w:rFonts w:ascii="Times New Roman" w:hAnsi="Times New Roman" w:cs="Times New Roman"/>
          <w:sz w:val="24"/>
          <w:szCs w:val="24"/>
        </w:rPr>
        <w:t>had</w:t>
      </w:r>
      <w:r w:rsidRPr="009C6C3C">
        <w:rPr>
          <w:rFonts w:ascii="Times New Roman" w:hAnsi="Times New Roman" w:cs="Times New Roman"/>
          <w:sz w:val="24"/>
          <w:szCs w:val="24"/>
        </w:rPr>
        <w:t xml:space="preserve"> the transfer of the partnership units to the CLAT</w:t>
      </w:r>
      <w:r w:rsidR="00972C1B" w:rsidRPr="009C6C3C">
        <w:rPr>
          <w:rFonts w:ascii="Times New Roman" w:hAnsi="Times New Roman" w:cs="Times New Roman"/>
          <w:sz w:val="24"/>
          <w:szCs w:val="24"/>
        </w:rPr>
        <w:t xml:space="preserve"> not occurred</w:t>
      </w:r>
      <w:r w:rsidR="00245712" w:rsidRPr="009C6C3C">
        <w:rPr>
          <w:rFonts w:ascii="Times New Roman" w:hAnsi="Times New Roman" w:cs="Times New Roman"/>
          <w:sz w:val="24"/>
          <w:szCs w:val="24"/>
        </w:rPr>
        <w:t xml:space="preserve"> – i.e., whether </w:t>
      </w:r>
      <w:r w:rsidR="009861B5" w:rsidRPr="009C6C3C">
        <w:rPr>
          <w:rFonts w:ascii="Times New Roman" w:hAnsi="Times New Roman" w:cs="Times New Roman"/>
          <w:sz w:val="24"/>
          <w:szCs w:val="24"/>
        </w:rPr>
        <w:t xml:space="preserve">the partnership assets would have been included in her estate under section </w:t>
      </w:r>
      <w:r w:rsidR="00166B9E" w:rsidRPr="009C6C3C">
        <w:rPr>
          <w:rFonts w:ascii="Times New Roman" w:hAnsi="Times New Roman" w:cs="Times New Roman"/>
          <w:sz w:val="24"/>
          <w:szCs w:val="24"/>
        </w:rPr>
        <w:t xml:space="preserve">2036 </w:t>
      </w:r>
      <w:r w:rsidR="009861B5" w:rsidRPr="009C6C3C">
        <w:rPr>
          <w:rFonts w:ascii="Times New Roman" w:hAnsi="Times New Roman" w:cs="Times New Roman"/>
          <w:sz w:val="24"/>
          <w:szCs w:val="24"/>
        </w:rPr>
        <w:t>had she not severed her ties to the assets through the gift of the units to the CLAT</w:t>
      </w:r>
      <w:r w:rsidRPr="009C6C3C">
        <w:rPr>
          <w:rFonts w:ascii="Times New Roman" w:hAnsi="Times New Roman" w:cs="Times New Roman"/>
          <w:sz w:val="24"/>
          <w:szCs w:val="24"/>
        </w:rPr>
        <w:t>.</w:t>
      </w:r>
      <w:r w:rsidR="009861B5" w:rsidRPr="009C6C3C">
        <w:rPr>
          <w:rStyle w:val="FootnoteReference"/>
          <w:rFonts w:ascii="Times New Roman" w:hAnsi="Times New Roman" w:cs="Times New Roman"/>
          <w:sz w:val="24"/>
          <w:szCs w:val="24"/>
        </w:rPr>
        <w:footnoteReference w:id="13"/>
      </w:r>
      <w:r w:rsidRPr="009C6C3C">
        <w:rPr>
          <w:rFonts w:ascii="Times New Roman" w:hAnsi="Times New Roman" w:cs="Times New Roman"/>
          <w:sz w:val="24"/>
          <w:szCs w:val="24"/>
        </w:rPr>
        <w:t xml:space="preserve">  The court therefore had to</w:t>
      </w:r>
      <w:r w:rsidR="00FB7492" w:rsidRPr="009C6C3C">
        <w:rPr>
          <w:rFonts w:ascii="Times New Roman" w:hAnsi="Times New Roman" w:cs="Times New Roman"/>
          <w:sz w:val="24"/>
          <w:szCs w:val="24"/>
        </w:rPr>
        <w:t xml:space="preserve"> determine whether the partnership units conferred rights on </w:t>
      </w:r>
      <w:r w:rsidR="00EF2DD5" w:rsidRPr="009C6C3C">
        <w:rPr>
          <w:rFonts w:ascii="Times New Roman" w:hAnsi="Times New Roman" w:cs="Times New Roman"/>
          <w:sz w:val="24"/>
          <w:szCs w:val="24"/>
        </w:rPr>
        <w:t xml:space="preserve">the decedent </w:t>
      </w:r>
      <w:r w:rsidR="00FB7492" w:rsidRPr="009C6C3C">
        <w:rPr>
          <w:rFonts w:ascii="Times New Roman" w:hAnsi="Times New Roman" w:cs="Times New Roman"/>
          <w:sz w:val="24"/>
          <w:szCs w:val="24"/>
        </w:rPr>
        <w:t xml:space="preserve">that could serve as a basis for applying </w:t>
      </w:r>
      <w:r w:rsidRPr="009C6C3C">
        <w:rPr>
          <w:rFonts w:ascii="Times New Roman" w:hAnsi="Times New Roman" w:cs="Times New Roman"/>
          <w:sz w:val="24"/>
          <w:szCs w:val="24"/>
        </w:rPr>
        <w:t>2036(a)(2)</w:t>
      </w:r>
      <w:r w:rsidR="0071178B" w:rsidRPr="009C6C3C">
        <w:rPr>
          <w:rFonts w:ascii="Times New Roman" w:hAnsi="Times New Roman" w:cs="Times New Roman"/>
          <w:sz w:val="24"/>
          <w:szCs w:val="24"/>
        </w:rPr>
        <w:t xml:space="preserve"> </w:t>
      </w:r>
      <w:r w:rsidR="00EF2DD5" w:rsidRPr="009C6C3C">
        <w:rPr>
          <w:rFonts w:ascii="Times New Roman" w:hAnsi="Times New Roman" w:cs="Times New Roman"/>
          <w:sz w:val="24"/>
          <w:szCs w:val="24"/>
        </w:rPr>
        <w:t xml:space="preserve">with respect to the partnership assets </w:t>
      </w:r>
      <w:r w:rsidR="0071178B" w:rsidRPr="009C6C3C">
        <w:rPr>
          <w:rFonts w:ascii="Times New Roman" w:hAnsi="Times New Roman" w:cs="Times New Roman"/>
          <w:sz w:val="24"/>
          <w:szCs w:val="24"/>
        </w:rPr>
        <w:t>– and, if so, how to treat the limited partnership units</w:t>
      </w:r>
      <w:r w:rsidR="00FB7492" w:rsidRPr="009C6C3C">
        <w:rPr>
          <w:rFonts w:ascii="Times New Roman" w:hAnsi="Times New Roman" w:cs="Times New Roman"/>
          <w:sz w:val="24"/>
          <w:szCs w:val="24"/>
        </w:rPr>
        <w:t>.</w:t>
      </w:r>
      <w:r w:rsidRPr="009C6C3C">
        <w:rPr>
          <w:rFonts w:ascii="Times New Roman" w:hAnsi="Times New Roman" w:cs="Times New Roman"/>
          <w:sz w:val="24"/>
          <w:szCs w:val="24"/>
        </w:rPr>
        <w:t xml:space="preserve"> </w:t>
      </w:r>
    </w:p>
    <w:p w:rsidR="00422800" w:rsidRPr="00BD0B04" w:rsidRDefault="00422800" w:rsidP="0055738E">
      <w:pPr>
        <w:autoSpaceDE w:val="0"/>
        <w:autoSpaceDN w:val="0"/>
        <w:adjustRightInd w:val="0"/>
        <w:spacing w:after="0" w:line="240" w:lineRule="auto"/>
        <w:rPr>
          <w:rFonts w:ascii="Times New Roman" w:hAnsi="Times New Roman" w:cs="Times New Roman"/>
          <w:sz w:val="24"/>
          <w:szCs w:val="24"/>
        </w:rPr>
      </w:pPr>
    </w:p>
    <w:p w:rsidR="00422800" w:rsidRPr="00BD0B04" w:rsidRDefault="00422800" w:rsidP="00BD0B04">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BD0B04">
        <w:rPr>
          <w:rFonts w:ascii="Times New Roman" w:hAnsi="Times New Roman" w:cs="Times New Roman"/>
          <w:sz w:val="24"/>
          <w:szCs w:val="24"/>
        </w:rPr>
        <w:t>Section 2036 and Family Limited Partnerships</w:t>
      </w:r>
      <w:r w:rsidR="00CE180F" w:rsidRPr="00BD0B04">
        <w:rPr>
          <w:rFonts w:ascii="Times New Roman" w:hAnsi="Times New Roman" w:cs="Times New Roman"/>
          <w:sz w:val="24"/>
          <w:szCs w:val="24"/>
        </w:rPr>
        <w:t>: Evolution</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972C1B"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In practically all </w:t>
      </w:r>
      <w:r w:rsidR="0055738E" w:rsidRPr="009C6C3C">
        <w:rPr>
          <w:rFonts w:ascii="Times New Roman" w:hAnsi="Times New Roman" w:cs="Times New Roman"/>
          <w:sz w:val="24"/>
          <w:szCs w:val="24"/>
        </w:rPr>
        <w:t>of the cases in which the courts have invoked section 2036 in the context of a family limited partnership, section 2036(a)(1) has served as the basis for the analysis.</w:t>
      </w:r>
      <w:r w:rsidR="00D82701">
        <w:rPr>
          <w:rStyle w:val="FootnoteReference"/>
          <w:rFonts w:ascii="Times New Roman" w:hAnsi="Times New Roman" w:cs="Times New Roman"/>
          <w:sz w:val="24"/>
          <w:szCs w:val="24"/>
        </w:rPr>
        <w:footnoteReference w:id="14"/>
      </w:r>
      <w:r w:rsidR="0055738E" w:rsidRPr="009C6C3C">
        <w:rPr>
          <w:rFonts w:ascii="Times New Roman" w:hAnsi="Times New Roman" w:cs="Times New Roman"/>
          <w:sz w:val="24"/>
          <w:szCs w:val="24"/>
        </w:rPr>
        <w:t xml:space="preserve">  The inclination to rely on section 2036(a)(1) is not surprising.  The IRS can invoke this provision where the decedent retained a legally enforceable right or where there was a mere implied understanding concerning the assets transferred by the decedent even if the understanding was not legally enforceable.  In contrast, in the case of section 2036(a)(2), </w:t>
      </w:r>
      <w:r w:rsidR="00C330C5" w:rsidRPr="009C6C3C">
        <w:rPr>
          <w:rFonts w:ascii="Times New Roman" w:hAnsi="Times New Roman" w:cs="Times New Roman"/>
          <w:sz w:val="24"/>
          <w:szCs w:val="24"/>
        </w:rPr>
        <w:t xml:space="preserve">the statute itself requires the presence of a “right” in the decedent.  And, in </w:t>
      </w:r>
      <w:r w:rsidR="00575DA0" w:rsidRPr="009C6C3C">
        <w:rPr>
          <w:rFonts w:ascii="Times New Roman" w:hAnsi="Times New Roman" w:cs="Times New Roman"/>
          <w:i/>
          <w:sz w:val="24"/>
          <w:szCs w:val="24"/>
        </w:rPr>
        <w:t>U</w:t>
      </w:r>
      <w:r w:rsidR="00E715DC" w:rsidRPr="009C6C3C">
        <w:rPr>
          <w:rFonts w:ascii="Times New Roman" w:hAnsi="Times New Roman" w:cs="Times New Roman"/>
          <w:i/>
          <w:sz w:val="24"/>
          <w:szCs w:val="24"/>
        </w:rPr>
        <w:t xml:space="preserve">nited </w:t>
      </w:r>
      <w:r w:rsidR="00575DA0" w:rsidRPr="009C6C3C">
        <w:rPr>
          <w:rFonts w:ascii="Times New Roman" w:hAnsi="Times New Roman" w:cs="Times New Roman"/>
          <w:i/>
          <w:sz w:val="24"/>
          <w:szCs w:val="24"/>
        </w:rPr>
        <w:t>S</w:t>
      </w:r>
      <w:r w:rsidR="00E715DC" w:rsidRPr="009C6C3C">
        <w:rPr>
          <w:rFonts w:ascii="Times New Roman" w:hAnsi="Times New Roman" w:cs="Times New Roman"/>
          <w:i/>
          <w:sz w:val="24"/>
          <w:szCs w:val="24"/>
        </w:rPr>
        <w:t>tates</w:t>
      </w:r>
      <w:r w:rsidR="00575DA0" w:rsidRPr="009C6C3C">
        <w:rPr>
          <w:rFonts w:ascii="Times New Roman" w:hAnsi="Times New Roman" w:cs="Times New Roman"/>
          <w:i/>
          <w:sz w:val="24"/>
          <w:szCs w:val="24"/>
        </w:rPr>
        <w:t xml:space="preserve"> v. </w:t>
      </w:r>
      <w:r w:rsidR="0055738E" w:rsidRPr="009C6C3C">
        <w:rPr>
          <w:rFonts w:ascii="Times New Roman" w:hAnsi="Times New Roman" w:cs="Times New Roman"/>
          <w:i/>
          <w:sz w:val="24"/>
          <w:szCs w:val="24"/>
        </w:rPr>
        <w:t>Byrum</w:t>
      </w:r>
      <w:r w:rsidR="0055738E" w:rsidRPr="009C6C3C">
        <w:rPr>
          <w:rFonts w:ascii="Times New Roman" w:hAnsi="Times New Roman" w:cs="Times New Roman"/>
          <w:sz w:val="24"/>
          <w:szCs w:val="24"/>
        </w:rPr>
        <w:t>,</w:t>
      </w:r>
      <w:r w:rsidR="00D415D1" w:rsidRPr="009C6C3C">
        <w:rPr>
          <w:rStyle w:val="FootnoteReference"/>
          <w:rFonts w:ascii="Times New Roman" w:hAnsi="Times New Roman" w:cs="Times New Roman"/>
          <w:sz w:val="24"/>
          <w:szCs w:val="24"/>
        </w:rPr>
        <w:footnoteReference w:id="15"/>
      </w:r>
      <w:r w:rsidR="0055738E" w:rsidRPr="009C6C3C">
        <w:rPr>
          <w:rFonts w:ascii="Times New Roman" w:hAnsi="Times New Roman" w:cs="Times New Roman"/>
          <w:sz w:val="24"/>
          <w:szCs w:val="24"/>
        </w:rPr>
        <w:t xml:space="preserve"> </w:t>
      </w:r>
      <w:r w:rsidR="00C330C5" w:rsidRPr="009C6C3C">
        <w:rPr>
          <w:rFonts w:ascii="Times New Roman" w:hAnsi="Times New Roman" w:cs="Times New Roman"/>
          <w:sz w:val="24"/>
          <w:szCs w:val="24"/>
        </w:rPr>
        <w:t xml:space="preserve">the Supreme Court held that </w:t>
      </w:r>
      <w:r w:rsidR="0055738E" w:rsidRPr="009C6C3C">
        <w:rPr>
          <w:rFonts w:ascii="Times New Roman" w:hAnsi="Times New Roman" w:cs="Times New Roman"/>
          <w:sz w:val="24"/>
          <w:szCs w:val="24"/>
        </w:rPr>
        <w:t xml:space="preserve">an understanding that is not legally enforceable is an insufficient basis for inclusion.  </w:t>
      </w:r>
      <w:r w:rsidR="00C330C5" w:rsidRPr="009C6C3C">
        <w:rPr>
          <w:rFonts w:ascii="Times New Roman" w:hAnsi="Times New Roman" w:cs="Times New Roman"/>
          <w:sz w:val="24"/>
          <w:szCs w:val="24"/>
        </w:rPr>
        <w:t xml:space="preserve">Until the courts began to consider the applicability of section 2036 to partnerships, this was the considered reading of </w:t>
      </w:r>
      <w:r w:rsidR="00C330C5" w:rsidRPr="009C6C3C">
        <w:rPr>
          <w:rFonts w:ascii="Times New Roman" w:hAnsi="Times New Roman" w:cs="Times New Roman"/>
          <w:i/>
          <w:sz w:val="24"/>
          <w:szCs w:val="24"/>
        </w:rPr>
        <w:t>Byrum</w:t>
      </w:r>
      <w:r w:rsidR="00C330C5" w:rsidRPr="009C6C3C">
        <w:rPr>
          <w:rFonts w:ascii="Times New Roman" w:hAnsi="Times New Roman" w:cs="Times New Roman"/>
          <w:sz w:val="24"/>
          <w:szCs w:val="24"/>
        </w:rPr>
        <w:t>.</w:t>
      </w:r>
      <w:r w:rsidR="00575DA0" w:rsidRPr="009C6C3C">
        <w:rPr>
          <w:rStyle w:val="FootnoteReference"/>
          <w:rFonts w:ascii="Times New Roman" w:hAnsi="Times New Roman" w:cs="Times New Roman"/>
          <w:sz w:val="24"/>
          <w:szCs w:val="24"/>
        </w:rPr>
        <w:footnoteReference w:id="16"/>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In the partnership context, there are often, as a practical matter, facts from which an inference of an implied understanding can be drawn: e.g., a pattern of distributions to the decedent based on the decedent’s needs; or the decedent’s failure to retain sufficient assets outside of the partnership to cover the decedent’s cost of living or potential estate tax obligations.</w:t>
      </w:r>
      <w:r w:rsidR="00D060C1" w:rsidRPr="009C6C3C">
        <w:rPr>
          <w:rStyle w:val="FootnoteReference"/>
          <w:rFonts w:ascii="Times New Roman" w:hAnsi="Times New Roman" w:cs="Times New Roman"/>
          <w:sz w:val="24"/>
          <w:szCs w:val="24"/>
        </w:rPr>
        <w:footnoteReference w:id="17"/>
      </w:r>
      <w:r w:rsidRPr="009C6C3C">
        <w:rPr>
          <w:rFonts w:ascii="Times New Roman" w:hAnsi="Times New Roman" w:cs="Times New Roman"/>
          <w:sz w:val="24"/>
          <w:szCs w:val="24"/>
        </w:rPr>
        <w:t xml:space="preserve">  Where such facts are present, the IRS can bring the partnership’s assets into the gross estate without having to establish the existence of a legally enforceable right.</w:t>
      </w:r>
      <w:r w:rsidR="00D060C1" w:rsidRPr="009C6C3C">
        <w:rPr>
          <w:rStyle w:val="FootnoteReference"/>
          <w:rFonts w:ascii="Times New Roman" w:hAnsi="Times New Roman" w:cs="Times New Roman"/>
          <w:sz w:val="24"/>
          <w:szCs w:val="24"/>
        </w:rPr>
        <w:t xml:space="preserve"> </w:t>
      </w:r>
      <w:r w:rsidR="00D060C1" w:rsidRPr="009C6C3C">
        <w:rPr>
          <w:rStyle w:val="FootnoteReference"/>
          <w:rFonts w:ascii="Times New Roman" w:hAnsi="Times New Roman" w:cs="Times New Roman"/>
          <w:sz w:val="24"/>
          <w:szCs w:val="24"/>
        </w:rPr>
        <w:footnoteReference w:id="18"/>
      </w:r>
      <w:r w:rsidRPr="009C6C3C">
        <w:rPr>
          <w:rFonts w:ascii="Times New Roman" w:hAnsi="Times New Roman" w:cs="Times New Roman"/>
          <w:sz w:val="24"/>
          <w:szCs w:val="24"/>
        </w:rPr>
        <w:t xml:space="preserve">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But what about cases where the decedent is careful to avoid taking partnership distributions and retains sufficient assets outside of the partnership?  With decedents who take such care, there may well be no facts from which an inference of an implied understanding can be drawn, making section 2036(a)(1) unavailable to the IRS – even if the partnership is designed for the sole purpose of reducing estate tax.  In such cases, the question becomes whether the IRS can deploy section 2036(a)(2).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bookmarkStart w:id="54" w:name="_Hlk485046475"/>
      <w:r w:rsidRPr="009C6C3C">
        <w:rPr>
          <w:rFonts w:ascii="Times New Roman" w:hAnsi="Times New Roman" w:cs="Times New Roman"/>
          <w:sz w:val="24"/>
          <w:szCs w:val="24"/>
        </w:rPr>
        <w:t xml:space="preserve">While, as indicated, the </w:t>
      </w:r>
      <w:r w:rsidRPr="009C6C3C">
        <w:rPr>
          <w:rFonts w:ascii="Times New Roman" w:hAnsi="Times New Roman" w:cs="Times New Roman"/>
          <w:i/>
          <w:sz w:val="24"/>
          <w:szCs w:val="24"/>
        </w:rPr>
        <w:t>Byrum</w:t>
      </w:r>
      <w:r w:rsidRPr="009C6C3C">
        <w:rPr>
          <w:rFonts w:ascii="Times New Roman" w:hAnsi="Times New Roman" w:cs="Times New Roman"/>
          <w:sz w:val="24"/>
          <w:szCs w:val="24"/>
        </w:rPr>
        <w:t xml:space="preserve"> Court </w:t>
      </w:r>
      <w:r w:rsidR="00166B9E" w:rsidRPr="009C6C3C">
        <w:rPr>
          <w:rFonts w:ascii="Times New Roman" w:hAnsi="Times New Roman" w:cs="Times New Roman"/>
          <w:sz w:val="24"/>
          <w:szCs w:val="24"/>
        </w:rPr>
        <w:t>concluded</w:t>
      </w:r>
      <w:r w:rsidRPr="009C6C3C">
        <w:rPr>
          <w:rFonts w:ascii="Times New Roman" w:hAnsi="Times New Roman" w:cs="Times New Roman"/>
          <w:sz w:val="24"/>
          <w:szCs w:val="24"/>
        </w:rPr>
        <w:t xml:space="preserve"> that the term “right” in section 2036(a)(2) required a “legally enforceable” or “ascertainable” right</w:t>
      </w:r>
      <w:r w:rsidR="009861B5" w:rsidRPr="009C6C3C">
        <w:rPr>
          <w:rFonts w:ascii="Times New Roman" w:hAnsi="Times New Roman" w:cs="Times New Roman"/>
          <w:sz w:val="24"/>
          <w:szCs w:val="24"/>
        </w:rPr>
        <w:t xml:space="preserve"> or power</w:t>
      </w:r>
      <w:r w:rsidRPr="009C6C3C">
        <w:rPr>
          <w:rFonts w:ascii="Times New Roman" w:hAnsi="Times New Roman" w:cs="Times New Roman"/>
          <w:sz w:val="24"/>
          <w:szCs w:val="24"/>
        </w:rPr>
        <w:t xml:space="preserve">, the Tax Court in a memorandum opinion in </w:t>
      </w:r>
      <w:r w:rsidR="009861B5" w:rsidRPr="009C6C3C">
        <w:rPr>
          <w:rFonts w:ascii="Times New Roman" w:hAnsi="Times New Roman" w:cs="Times New Roman"/>
          <w:i/>
          <w:sz w:val="24"/>
          <w:szCs w:val="24"/>
        </w:rPr>
        <w:t xml:space="preserve">Estate </w:t>
      </w:r>
      <w:r w:rsidRPr="009C6C3C">
        <w:rPr>
          <w:rFonts w:ascii="Times New Roman" w:hAnsi="Times New Roman" w:cs="Times New Roman"/>
          <w:i/>
          <w:sz w:val="24"/>
          <w:szCs w:val="24"/>
        </w:rPr>
        <w:t xml:space="preserve">Strangi </w:t>
      </w:r>
      <w:r w:rsidR="009861B5" w:rsidRPr="009C6C3C">
        <w:rPr>
          <w:rFonts w:ascii="Times New Roman" w:hAnsi="Times New Roman" w:cs="Times New Roman"/>
          <w:i/>
          <w:sz w:val="24"/>
          <w:szCs w:val="24"/>
        </w:rPr>
        <w:t>v. Commissioner</w:t>
      </w:r>
      <w:r w:rsidR="009861B5" w:rsidRPr="009C6C3C">
        <w:rPr>
          <w:rFonts w:ascii="Times New Roman" w:hAnsi="Times New Roman" w:cs="Times New Roman"/>
          <w:sz w:val="24"/>
          <w:szCs w:val="24"/>
        </w:rPr>
        <w:t>,</w:t>
      </w:r>
      <w:r w:rsidR="009861B5" w:rsidRPr="009C6C3C">
        <w:rPr>
          <w:rStyle w:val="FootnoteReference"/>
          <w:rFonts w:ascii="Times New Roman" w:hAnsi="Times New Roman" w:cs="Times New Roman"/>
          <w:sz w:val="24"/>
          <w:szCs w:val="24"/>
        </w:rPr>
        <w:footnoteReference w:id="19"/>
      </w:r>
      <w:r w:rsidR="009861B5" w:rsidRPr="009C6C3C">
        <w:rPr>
          <w:rFonts w:ascii="Times New Roman" w:hAnsi="Times New Roman" w:cs="Times New Roman"/>
          <w:sz w:val="24"/>
          <w:szCs w:val="24"/>
        </w:rPr>
        <w:t xml:space="preserve"> </w:t>
      </w:r>
      <w:r w:rsidR="00A31080" w:rsidRPr="009C6C3C">
        <w:rPr>
          <w:rFonts w:ascii="Times New Roman" w:hAnsi="Times New Roman" w:cs="Times New Roman"/>
          <w:sz w:val="24"/>
          <w:szCs w:val="24"/>
        </w:rPr>
        <w:t>disregarded restrictions on the decedent’s right in concluding</w:t>
      </w:r>
      <w:r w:rsidRPr="009C6C3C">
        <w:rPr>
          <w:rFonts w:ascii="Times New Roman" w:hAnsi="Times New Roman" w:cs="Times New Roman"/>
          <w:sz w:val="24"/>
          <w:szCs w:val="24"/>
        </w:rPr>
        <w:t xml:space="preserve"> that section 2036(a)(2), as well as 2036(a)(1), required the inclusion of the partnership’s assets in the  gross estate.</w:t>
      </w:r>
      <w:r w:rsidR="008B6FFB" w:rsidRPr="009C6C3C">
        <w:rPr>
          <w:rStyle w:val="FootnoteReference"/>
          <w:rFonts w:ascii="Times New Roman" w:hAnsi="Times New Roman" w:cs="Times New Roman"/>
          <w:sz w:val="24"/>
          <w:szCs w:val="24"/>
        </w:rPr>
        <w:footnoteReference w:id="20"/>
      </w:r>
      <w:r w:rsidRPr="009C6C3C">
        <w:rPr>
          <w:rFonts w:ascii="Times New Roman" w:hAnsi="Times New Roman" w:cs="Times New Roman"/>
          <w:sz w:val="24"/>
          <w:szCs w:val="24"/>
        </w:rPr>
        <w:t xml:space="preserve">  </w:t>
      </w:r>
      <w:r w:rsidR="00A31080" w:rsidRPr="009C6C3C">
        <w:rPr>
          <w:rFonts w:ascii="Times New Roman" w:hAnsi="Times New Roman" w:cs="Times New Roman"/>
          <w:sz w:val="24"/>
          <w:szCs w:val="24"/>
        </w:rPr>
        <w:t>T</w:t>
      </w:r>
      <w:r w:rsidRPr="009C6C3C">
        <w:rPr>
          <w:rFonts w:ascii="Times New Roman" w:hAnsi="Times New Roman" w:cs="Times New Roman"/>
          <w:sz w:val="24"/>
          <w:szCs w:val="24"/>
        </w:rPr>
        <w:t>he application of section 2036(a)(2) was entirely academic given the inclusion under section 2036(a)(1)</w:t>
      </w:r>
      <w:r w:rsidR="00A31080" w:rsidRPr="009C6C3C">
        <w:rPr>
          <w:rFonts w:ascii="Times New Roman" w:hAnsi="Times New Roman" w:cs="Times New Roman"/>
          <w:sz w:val="24"/>
          <w:szCs w:val="24"/>
        </w:rPr>
        <w:t>.  Nonetheless</w:t>
      </w:r>
      <w:r w:rsidRPr="009C6C3C">
        <w:rPr>
          <w:rFonts w:ascii="Times New Roman" w:hAnsi="Times New Roman" w:cs="Times New Roman"/>
          <w:sz w:val="24"/>
          <w:szCs w:val="24"/>
        </w:rPr>
        <w:t>, the decision did not go without notice among practitioners.</w:t>
      </w:r>
      <w:bookmarkEnd w:id="54"/>
      <w:r w:rsidRPr="009C6C3C">
        <w:rPr>
          <w:rFonts w:ascii="Times New Roman" w:hAnsi="Times New Roman" w:cs="Times New Roman"/>
          <w:sz w:val="24"/>
          <w:szCs w:val="24"/>
        </w:rPr>
        <w:t xml:space="preserve">  It led to precautions in the drafting of partnership documents designed to preclude the IRS from invoking section 2036(a)(2).</w:t>
      </w:r>
      <w:r w:rsidR="005829C1" w:rsidRPr="009C6C3C">
        <w:rPr>
          <w:rStyle w:val="FootnoteReference"/>
          <w:rFonts w:ascii="Times New Roman" w:hAnsi="Times New Roman" w:cs="Times New Roman"/>
          <w:sz w:val="24"/>
          <w:szCs w:val="24"/>
        </w:rPr>
        <w:footnoteReference w:id="21"/>
      </w:r>
      <w:r w:rsidRPr="009C6C3C">
        <w:rPr>
          <w:rFonts w:ascii="Times New Roman" w:hAnsi="Times New Roman" w:cs="Times New Roman"/>
          <w:sz w:val="24"/>
          <w:szCs w:val="24"/>
        </w:rPr>
        <w:t xml:space="preserve">  </w:t>
      </w:r>
      <w:r w:rsidR="00A31080" w:rsidRPr="009C6C3C">
        <w:rPr>
          <w:rFonts w:ascii="Times New Roman" w:hAnsi="Times New Roman" w:cs="Times New Roman"/>
          <w:sz w:val="24"/>
          <w:szCs w:val="24"/>
        </w:rPr>
        <w:t>W</w:t>
      </w:r>
      <w:r w:rsidRPr="009C6C3C">
        <w:rPr>
          <w:rFonts w:ascii="Times New Roman" w:hAnsi="Times New Roman" w:cs="Times New Roman"/>
          <w:sz w:val="24"/>
          <w:szCs w:val="24"/>
        </w:rPr>
        <w:t xml:space="preserve">ith no court adopting a full-throated defense of the section 2036(a)(2) analysis in the fourteen years since </w:t>
      </w:r>
      <w:r w:rsidRPr="009C6C3C">
        <w:rPr>
          <w:rFonts w:ascii="Times New Roman" w:hAnsi="Times New Roman" w:cs="Times New Roman"/>
          <w:i/>
          <w:sz w:val="24"/>
          <w:szCs w:val="24"/>
        </w:rPr>
        <w:t>Strangi</w:t>
      </w:r>
      <w:r w:rsidRPr="009C6C3C">
        <w:rPr>
          <w:rFonts w:ascii="Times New Roman" w:hAnsi="Times New Roman" w:cs="Times New Roman"/>
          <w:sz w:val="24"/>
          <w:szCs w:val="24"/>
        </w:rPr>
        <w:t xml:space="preserve"> was decided,</w:t>
      </w:r>
      <w:r w:rsidR="00B06CDF" w:rsidRPr="009C6C3C">
        <w:rPr>
          <w:rFonts w:ascii="Times New Roman" w:hAnsi="Times New Roman" w:cs="Times New Roman"/>
          <w:sz w:val="24"/>
          <w:szCs w:val="24"/>
        </w:rPr>
        <w:t xml:space="preserve"> </w:t>
      </w:r>
      <w:r w:rsidRPr="009C6C3C">
        <w:rPr>
          <w:rFonts w:ascii="Times New Roman" w:hAnsi="Times New Roman" w:cs="Times New Roman"/>
          <w:sz w:val="24"/>
          <w:szCs w:val="24"/>
        </w:rPr>
        <w:t xml:space="preserve">concern among practitioners had presumably abated.  The court’s decision in </w:t>
      </w:r>
      <w:r w:rsidRPr="009C6C3C">
        <w:rPr>
          <w:rFonts w:ascii="Times New Roman" w:hAnsi="Times New Roman" w:cs="Times New Roman"/>
          <w:i/>
          <w:sz w:val="24"/>
          <w:szCs w:val="24"/>
        </w:rPr>
        <w:t>Powell</w:t>
      </w:r>
      <w:r w:rsidRPr="009C6C3C">
        <w:rPr>
          <w:rFonts w:ascii="Times New Roman" w:hAnsi="Times New Roman" w:cs="Times New Roman"/>
          <w:sz w:val="24"/>
          <w:szCs w:val="24"/>
        </w:rPr>
        <w:t xml:space="preserve">, however, should bring an abrupt end to this period of quiescence.  Of the seventeen judges participating in the </w:t>
      </w:r>
      <w:r w:rsidRPr="009C6C3C">
        <w:rPr>
          <w:rFonts w:ascii="Times New Roman" w:hAnsi="Times New Roman" w:cs="Times New Roman"/>
          <w:i/>
          <w:sz w:val="24"/>
          <w:szCs w:val="24"/>
        </w:rPr>
        <w:t>Powell</w:t>
      </w:r>
      <w:r w:rsidRPr="009C6C3C">
        <w:rPr>
          <w:rFonts w:ascii="Times New Roman" w:hAnsi="Times New Roman" w:cs="Times New Roman"/>
          <w:sz w:val="24"/>
          <w:szCs w:val="24"/>
        </w:rPr>
        <w:t xml:space="preserve"> decision, fifteen endorsed </w:t>
      </w:r>
      <w:r w:rsidRPr="009C6C3C">
        <w:rPr>
          <w:rFonts w:ascii="Times New Roman" w:hAnsi="Times New Roman" w:cs="Times New Roman"/>
          <w:i/>
          <w:sz w:val="24"/>
          <w:szCs w:val="24"/>
        </w:rPr>
        <w:t>Strangi</w:t>
      </w:r>
      <w:r w:rsidRPr="009C6C3C">
        <w:rPr>
          <w:rFonts w:ascii="Times New Roman" w:hAnsi="Times New Roman" w:cs="Times New Roman"/>
          <w:sz w:val="24"/>
          <w:szCs w:val="24"/>
        </w:rPr>
        <w:t xml:space="preserve"> and its use of section 2036(a)(2) – with the two judges concurring in the result but without offering any rationale.  And while the issue may well continue to percolate in the courts, it would not be surprising if such a solid Tax Court consensus had a substantial impact at the appellate level.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As the </w:t>
      </w:r>
      <w:r w:rsidRPr="009C6C3C">
        <w:rPr>
          <w:rFonts w:ascii="Times New Roman" w:hAnsi="Times New Roman" w:cs="Times New Roman"/>
          <w:i/>
          <w:sz w:val="24"/>
          <w:szCs w:val="24"/>
        </w:rPr>
        <w:t>Powell</w:t>
      </w:r>
      <w:r w:rsidRPr="009C6C3C">
        <w:rPr>
          <w:rFonts w:ascii="Times New Roman" w:hAnsi="Times New Roman" w:cs="Times New Roman"/>
          <w:sz w:val="24"/>
          <w:szCs w:val="24"/>
        </w:rPr>
        <w:t xml:space="preserve"> court explains, </w:t>
      </w:r>
      <w:r w:rsidRPr="009C6C3C">
        <w:rPr>
          <w:rFonts w:ascii="Times New Roman" w:hAnsi="Times New Roman" w:cs="Times New Roman"/>
          <w:i/>
          <w:sz w:val="24"/>
          <w:szCs w:val="24"/>
        </w:rPr>
        <w:t>Strangi</w:t>
      </w:r>
      <w:r w:rsidRPr="009C6C3C">
        <w:rPr>
          <w:rFonts w:ascii="Times New Roman" w:hAnsi="Times New Roman" w:cs="Times New Roman"/>
          <w:sz w:val="24"/>
          <w:szCs w:val="24"/>
        </w:rPr>
        <w:t xml:space="preserve">’s application of section 2036(a)(2) was based on two grounds.  First, the </w:t>
      </w:r>
      <w:r w:rsidRPr="009C6C3C">
        <w:rPr>
          <w:rFonts w:ascii="Times New Roman" w:hAnsi="Times New Roman" w:cs="Times New Roman"/>
          <w:i/>
          <w:sz w:val="24"/>
          <w:szCs w:val="24"/>
        </w:rPr>
        <w:t>Strangi</w:t>
      </w:r>
      <w:r w:rsidRPr="009C6C3C">
        <w:rPr>
          <w:rFonts w:ascii="Times New Roman" w:hAnsi="Times New Roman" w:cs="Times New Roman"/>
          <w:sz w:val="24"/>
          <w:szCs w:val="24"/>
        </w:rPr>
        <w:t xml:space="preserve"> court pointed to the decedent’s ability to join together with the other partner (or shareholders in the </w:t>
      </w:r>
      <w:r w:rsidR="003809AD" w:rsidRPr="009C6C3C">
        <w:rPr>
          <w:rFonts w:ascii="Times New Roman" w:hAnsi="Times New Roman" w:cs="Times New Roman"/>
          <w:sz w:val="24"/>
          <w:szCs w:val="24"/>
        </w:rPr>
        <w:t>corporate</w:t>
      </w:r>
      <w:r w:rsidRPr="009C6C3C">
        <w:rPr>
          <w:rFonts w:ascii="Times New Roman" w:hAnsi="Times New Roman" w:cs="Times New Roman"/>
          <w:sz w:val="24"/>
          <w:szCs w:val="24"/>
        </w:rPr>
        <w:t xml:space="preserve"> partner) to cause a partnership dissolution.</w:t>
      </w:r>
      <w:r w:rsidR="008F38CC" w:rsidRPr="009C6C3C">
        <w:rPr>
          <w:rStyle w:val="FootnoteReference"/>
          <w:rFonts w:ascii="Times New Roman" w:hAnsi="Times New Roman" w:cs="Times New Roman"/>
          <w:sz w:val="24"/>
          <w:szCs w:val="24"/>
        </w:rPr>
        <w:footnoteReference w:id="22"/>
      </w:r>
      <w:r w:rsidRPr="009C6C3C">
        <w:rPr>
          <w:rFonts w:ascii="Times New Roman" w:hAnsi="Times New Roman" w:cs="Times New Roman"/>
          <w:sz w:val="24"/>
          <w:szCs w:val="24"/>
        </w:rPr>
        <w:t xml:space="preserve">  Second, it focused on the fact that the decedent’s son-in-law had discretion under the partnership agreement concerning the timing and amount of partnership distributions.</w:t>
      </w:r>
      <w:r w:rsidR="008F38CC" w:rsidRPr="009C6C3C">
        <w:rPr>
          <w:rStyle w:val="FootnoteReference"/>
          <w:rFonts w:ascii="Times New Roman" w:hAnsi="Times New Roman" w:cs="Times New Roman"/>
          <w:sz w:val="24"/>
          <w:szCs w:val="24"/>
        </w:rPr>
        <w:footnoteReference w:id="23"/>
      </w:r>
      <w:r w:rsidRPr="009C6C3C">
        <w:rPr>
          <w:rFonts w:ascii="Times New Roman" w:hAnsi="Times New Roman" w:cs="Times New Roman"/>
          <w:sz w:val="24"/>
          <w:szCs w:val="24"/>
        </w:rPr>
        <w:t xml:space="preserve">  The </w:t>
      </w:r>
      <w:r w:rsidR="00014738" w:rsidRPr="00D65CD7">
        <w:rPr>
          <w:rFonts w:ascii="Times New Roman" w:hAnsi="Times New Roman" w:cs="Times New Roman"/>
          <w:i/>
          <w:sz w:val="24"/>
          <w:szCs w:val="24"/>
        </w:rPr>
        <w:t>Strangi</w:t>
      </w:r>
      <w:r w:rsidR="00014738" w:rsidRPr="009C6C3C">
        <w:rPr>
          <w:rFonts w:ascii="Times New Roman" w:hAnsi="Times New Roman" w:cs="Times New Roman"/>
          <w:sz w:val="24"/>
          <w:szCs w:val="24"/>
        </w:rPr>
        <w:t xml:space="preserve"> </w:t>
      </w:r>
      <w:r w:rsidRPr="009C6C3C">
        <w:rPr>
          <w:rFonts w:ascii="Times New Roman" w:hAnsi="Times New Roman" w:cs="Times New Roman"/>
          <w:sz w:val="24"/>
          <w:szCs w:val="24"/>
        </w:rPr>
        <w:t>court attributed this discretion to the decedent on the theory that the son-in-law was the decedent’s attorney in fact under a power of attorney.  Thus, on either of these grounds, inclusion was required under section 2036(a)(2), according to the court.</w:t>
      </w:r>
    </w:p>
    <w:p w:rsidR="00213C55" w:rsidRPr="00BD0B04" w:rsidRDefault="00F30F94" w:rsidP="00BD0B04">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BD0B04">
        <w:rPr>
          <w:rFonts w:ascii="Times New Roman" w:hAnsi="Times New Roman" w:cs="Times New Roman"/>
          <w:sz w:val="24"/>
          <w:szCs w:val="24"/>
        </w:rPr>
        <w:t xml:space="preserve">Does </w:t>
      </w:r>
      <w:r w:rsidRPr="00BB454C">
        <w:rPr>
          <w:rFonts w:ascii="Times New Roman" w:hAnsi="Times New Roman" w:cs="Times New Roman"/>
          <w:i/>
          <w:sz w:val="24"/>
          <w:szCs w:val="24"/>
        </w:rPr>
        <w:t>Powell</w:t>
      </w:r>
      <w:r w:rsidRPr="00BD0B04">
        <w:rPr>
          <w:rFonts w:ascii="Times New Roman" w:hAnsi="Times New Roman" w:cs="Times New Roman"/>
          <w:sz w:val="24"/>
          <w:szCs w:val="24"/>
        </w:rPr>
        <w:t xml:space="preserve">, as </w:t>
      </w:r>
      <w:r w:rsidR="00BB454C">
        <w:rPr>
          <w:rFonts w:ascii="Times New Roman" w:hAnsi="Times New Roman" w:cs="Times New Roman"/>
          <w:sz w:val="24"/>
          <w:szCs w:val="24"/>
        </w:rPr>
        <w:t>W</w:t>
      </w:r>
      <w:r w:rsidRPr="00BD0B04">
        <w:rPr>
          <w:rFonts w:ascii="Times New Roman" w:hAnsi="Times New Roman" w:cs="Times New Roman"/>
          <w:sz w:val="24"/>
          <w:szCs w:val="24"/>
        </w:rPr>
        <w:t>ell as</w:t>
      </w:r>
      <w:r w:rsidR="00213C55" w:rsidRPr="00BD0B04">
        <w:rPr>
          <w:rFonts w:ascii="Times New Roman" w:hAnsi="Times New Roman" w:cs="Times New Roman"/>
          <w:sz w:val="24"/>
          <w:szCs w:val="24"/>
        </w:rPr>
        <w:t xml:space="preserve"> </w:t>
      </w:r>
      <w:r w:rsidR="00213C55" w:rsidRPr="00BB454C">
        <w:rPr>
          <w:rFonts w:ascii="Times New Roman" w:hAnsi="Times New Roman" w:cs="Times New Roman"/>
          <w:i/>
          <w:sz w:val="24"/>
          <w:szCs w:val="24"/>
        </w:rPr>
        <w:t>Strangi</w:t>
      </w:r>
      <w:r w:rsidRPr="00BD0B04">
        <w:rPr>
          <w:rFonts w:ascii="Times New Roman" w:hAnsi="Times New Roman" w:cs="Times New Roman"/>
          <w:sz w:val="24"/>
          <w:szCs w:val="24"/>
        </w:rPr>
        <w:t xml:space="preserve">, Misread </w:t>
      </w:r>
      <w:r w:rsidR="00213C55" w:rsidRPr="00BB454C">
        <w:rPr>
          <w:rFonts w:ascii="Times New Roman" w:hAnsi="Times New Roman" w:cs="Times New Roman"/>
          <w:i/>
          <w:sz w:val="24"/>
          <w:szCs w:val="24"/>
        </w:rPr>
        <w:t>Byrum</w:t>
      </w:r>
      <w:r w:rsidR="00213C55" w:rsidRPr="00BD0B04">
        <w:rPr>
          <w:rFonts w:ascii="Times New Roman" w:hAnsi="Times New Roman" w:cs="Times New Roman"/>
          <w:sz w:val="24"/>
          <w:szCs w:val="24"/>
        </w:rPr>
        <w:t>?</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A73520" w:rsidRPr="009C6C3C" w:rsidRDefault="00A73520" w:rsidP="00A73520">
      <w:pPr>
        <w:rPr>
          <w:rFonts w:ascii="Times New Roman" w:hAnsi="Times New Roman" w:cs="Times New Roman"/>
          <w:sz w:val="24"/>
          <w:szCs w:val="24"/>
        </w:rPr>
      </w:pPr>
      <w:r w:rsidRPr="009C6C3C">
        <w:rPr>
          <w:rFonts w:ascii="Times New Roman" w:hAnsi="Times New Roman" w:cs="Times New Roman"/>
          <w:sz w:val="24"/>
          <w:szCs w:val="24"/>
        </w:rPr>
        <w:t xml:space="preserve">Shortly after the decision in </w:t>
      </w:r>
      <w:r w:rsidRPr="009C6C3C">
        <w:rPr>
          <w:rFonts w:ascii="Times New Roman" w:hAnsi="Times New Roman" w:cs="Times New Roman"/>
          <w:i/>
          <w:sz w:val="24"/>
          <w:szCs w:val="24"/>
        </w:rPr>
        <w:t>Strangi</w:t>
      </w:r>
      <w:r w:rsidRPr="009C6C3C">
        <w:rPr>
          <w:rFonts w:ascii="Times New Roman" w:hAnsi="Times New Roman" w:cs="Times New Roman"/>
          <w:sz w:val="24"/>
          <w:szCs w:val="24"/>
        </w:rPr>
        <w:t>, the authors wrote an article that was critical of the decision.</w:t>
      </w:r>
      <w:r w:rsidRPr="009C6C3C">
        <w:rPr>
          <w:rStyle w:val="FootnoteReference"/>
          <w:rFonts w:ascii="Times New Roman" w:hAnsi="Times New Roman" w:cs="Times New Roman"/>
          <w:sz w:val="24"/>
          <w:szCs w:val="24"/>
        </w:rPr>
        <w:footnoteReference w:id="24"/>
      </w:r>
      <w:r w:rsidRPr="009C6C3C">
        <w:rPr>
          <w:rFonts w:ascii="Times New Roman" w:hAnsi="Times New Roman" w:cs="Times New Roman"/>
          <w:sz w:val="24"/>
          <w:szCs w:val="24"/>
        </w:rPr>
        <w:t xml:space="preserve">  In the authors’ view, </w:t>
      </w:r>
      <w:r w:rsidRPr="009C6C3C">
        <w:rPr>
          <w:rFonts w:ascii="Times New Roman" w:hAnsi="Times New Roman" w:cs="Times New Roman"/>
          <w:i/>
          <w:sz w:val="24"/>
          <w:szCs w:val="24"/>
        </w:rPr>
        <w:t>Byrum</w:t>
      </w:r>
      <w:r w:rsidRPr="009C6C3C">
        <w:rPr>
          <w:rFonts w:ascii="Times New Roman" w:hAnsi="Times New Roman" w:cs="Times New Roman"/>
          <w:sz w:val="24"/>
          <w:szCs w:val="24"/>
        </w:rPr>
        <w:t xml:space="preserve"> established a bright-line test, precluding the application of section 2036(a)(2) where the decedent lacked a legally enforceable right.  The majority opinion in </w:t>
      </w:r>
      <w:r w:rsidRPr="009C6C3C">
        <w:rPr>
          <w:rFonts w:ascii="Times New Roman" w:hAnsi="Times New Roman" w:cs="Times New Roman"/>
          <w:i/>
          <w:sz w:val="24"/>
          <w:szCs w:val="24"/>
        </w:rPr>
        <w:t>Powell</w:t>
      </w:r>
      <w:r w:rsidRPr="009C6C3C">
        <w:rPr>
          <w:rFonts w:ascii="Times New Roman" w:hAnsi="Times New Roman" w:cs="Times New Roman"/>
          <w:sz w:val="24"/>
          <w:szCs w:val="24"/>
        </w:rPr>
        <w:t xml:space="preserve"> acknowledges the critique with a “but see” citation, arguing that </w:t>
      </w:r>
      <w:r w:rsidRPr="009C6C3C">
        <w:rPr>
          <w:rFonts w:ascii="Times New Roman" w:hAnsi="Times New Roman" w:cs="Times New Roman"/>
          <w:i/>
          <w:sz w:val="24"/>
          <w:szCs w:val="24"/>
        </w:rPr>
        <w:t>Byrum</w:t>
      </w:r>
      <w:r w:rsidRPr="009C6C3C">
        <w:rPr>
          <w:rFonts w:ascii="Times New Roman" w:hAnsi="Times New Roman" w:cs="Times New Roman"/>
          <w:sz w:val="24"/>
          <w:szCs w:val="24"/>
        </w:rPr>
        <w:t xml:space="preserve"> need not be so read.</w:t>
      </w:r>
      <w:r w:rsidRPr="009C6C3C">
        <w:rPr>
          <w:rStyle w:val="FootnoteReference"/>
          <w:rFonts w:ascii="Times New Roman" w:hAnsi="Times New Roman" w:cs="Times New Roman"/>
          <w:sz w:val="24"/>
          <w:szCs w:val="24"/>
        </w:rPr>
        <w:footnoteReference w:id="25"/>
      </w:r>
      <w:r w:rsidRPr="009C6C3C">
        <w:rPr>
          <w:rFonts w:ascii="Times New Roman" w:hAnsi="Times New Roman" w:cs="Times New Roman"/>
          <w:sz w:val="24"/>
          <w:szCs w:val="24"/>
        </w:rPr>
        <w:t xml:space="preserve">   As the </w:t>
      </w:r>
      <w:r w:rsidRPr="009C6C3C">
        <w:rPr>
          <w:rFonts w:ascii="Times New Roman" w:hAnsi="Times New Roman" w:cs="Times New Roman"/>
          <w:i/>
          <w:sz w:val="24"/>
          <w:szCs w:val="24"/>
        </w:rPr>
        <w:t>Byrum</w:t>
      </w:r>
      <w:r w:rsidRPr="009C6C3C">
        <w:rPr>
          <w:rFonts w:ascii="Times New Roman" w:hAnsi="Times New Roman" w:cs="Times New Roman"/>
          <w:sz w:val="24"/>
          <w:szCs w:val="24"/>
        </w:rPr>
        <w:t xml:space="preserve"> Court indicated, however, in order for section 2036(a)(2) to apply, by its express terms, the decedent must have retained a “right.”</w:t>
      </w:r>
      <w:r w:rsidRPr="009C6C3C">
        <w:rPr>
          <w:rStyle w:val="FootnoteReference"/>
          <w:rFonts w:ascii="Times New Roman" w:hAnsi="Times New Roman" w:cs="Times New Roman"/>
          <w:sz w:val="24"/>
          <w:szCs w:val="24"/>
        </w:rPr>
        <w:t xml:space="preserve"> </w:t>
      </w:r>
      <w:r w:rsidRPr="009C6C3C">
        <w:rPr>
          <w:rStyle w:val="FootnoteReference"/>
          <w:rFonts w:ascii="Times New Roman" w:hAnsi="Times New Roman" w:cs="Times New Roman"/>
          <w:sz w:val="24"/>
          <w:szCs w:val="24"/>
        </w:rPr>
        <w:footnoteReference w:id="26"/>
      </w:r>
      <w:r w:rsidRPr="009C6C3C">
        <w:rPr>
          <w:rFonts w:ascii="Times New Roman" w:hAnsi="Times New Roman" w:cs="Times New Roman"/>
          <w:sz w:val="24"/>
          <w:szCs w:val="24"/>
        </w:rPr>
        <w:t xml:space="preserve">  The Court reasoned that the term “right” “connotes a legally enforceable power.”</w:t>
      </w:r>
      <w:r w:rsidRPr="009C6C3C">
        <w:rPr>
          <w:rStyle w:val="FootnoteReference"/>
          <w:rFonts w:ascii="Times New Roman" w:hAnsi="Times New Roman" w:cs="Times New Roman"/>
          <w:sz w:val="24"/>
          <w:szCs w:val="24"/>
        </w:rPr>
        <w:footnoteReference w:id="27"/>
      </w:r>
      <w:r w:rsidRPr="009C6C3C">
        <w:rPr>
          <w:rFonts w:ascii="Times New Roman" w:hAnsi="Times New Roman" w:cs="Times New Roman"/>
          <w:sz w:val="24"/>
          <w:szCs w:val="24"/>
        </w:rPr>
        <w:t xml:space="preserve">  If not legally enforceable, it is “not a right in any normal sense of that term.”</w:t>
      </w:r>
      <w:r w:rsidRPr="009C6C3C">
        <w:rPr>
          <w:rStyle w:val="FootnoteReference"/>
          <w:rFonts w:ascii="Times New Roman" w:hAnsi="Times New Roman" w:cs="Times New Roman"/>
          <w:sz w:val="24"/>
          <w:szCs w:val="24"/>
        </w:rPr>
        <w:footnoteReference w:id="28"/>
      </w:r>
      <w:r w:rsidRPr="009C6C3C">
        <w:rPr>
          <w:rFonts w:ascii="Times New Roman" w:hAnsi="Times New Roman" w:cs="Times New Roman"/>
          <w:sz w:val="24"/>
          <w:szCs w:val="24"/>
        </w:rPr>
        <w:t xml:space="preserve">  And, according to the Court, one cannot be deemed to have a legally enforceable right if exercising it would be actionable.</w:t>
      </w:r>
      <w:r w:rsidRPr="009C6C3C">
        <w:rPr>
          <w:rStyle w:val="FootnoteReference"/>
          <w:rFonts w:ascii="Times New Roman" w:hAnsi="Times New Roman" w:cs="Times New Roman"/>
          <w:sz w:val="24"/>
          <w:szCs w:val="24"/>
        </w:rPr>
        <w:footnoteReference w:id="29"/>
      </w:r>
    </w:p>
    <w:p w:rsidR="003B5093" w:rsidRPr="009C6C3C" w:rsidRDefault="003B5093" w:rsidP="0055738E">
      <w:pPr>
        <w:autoSpaceDE w:val="0"/>
        <w:autoSpaceDN w:val="0"/>
        <w:adjustRightInd w:val="0"/>
        <w:spacing w:after="0" w:line="240" w:lineRule="auto"/>
        <w:rPr>
          <w:rFonts w:ascii="Times New Roman" w:hAnsi="Times New Roman" w:cs="Times New Roman"/>
          <w:sz w:val="24"/>
          <w:szCs w:val="24"/>
        </w:rPr>
      </w:pPr>
    </w:p>
    <w:p w:rsidR="003B5093" w:rsidRPr="00BD0B04" w:rsidRDefault="003B5093" w:rsidP="00BD0B0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BD0B04">
        <w:rPr>
          <w:rFonts w:ascii="Times New Roman" w:hAnsi="Times New Roman" w:cs="Times New Roman"/>
          <w:sz w:val="24"/>
          <w:szCs w:val="24"/>
        </w:rPr>
        <w:t>Fiduciary Duty Constraint</w:t>
      </w:r>
    </w:p>
    <w:p w:rsidR="003B5093" w:rsidRPr="009C6C3C" w:rsidRDefault="003B5093"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Thus, the Court </w:t>
      </w:r>
      <w:r w:rsidR="00A73520" w:rsidRPr="009C6C3C">
        <w:rPr>
          <w:rFonts w:ascii="Times New Roman" w:hAnsi="Times New Roman" w:cs="Times New Roman"/>
          <w:sz w:val="24"/>
          <w:szCs w:val="24"/>
        </w:rPr>
        <w:t xml:space="preserve">in </w:t>
      </w:r>
      <w:r w:rsidR="00A73520" w:rsidRPr="009C6C3C">
        <w:rPr>
          <w:rFonts w:ascii="Times New Roman" w:hAnsi="Times New Roman" w:cs="Times New Roman"/>
          <w:i/>
          <w:sz w:val="24"/>
          <w:szCs w:val="24"/>
        </w:rPr>
        <w:t>Byrum</w:t>
      </w:r>
      <w:r w:rsidR="00A73520" w:rsidRPr="009C6C3C">
        <w:rPr>
          <w:rFonts w:ascii="Times New Roman" w:hAnsi="Times New Roman" w:cs="Times New Roman"/>
          <w:sz w:val="24"/>
          <w:szCs w:val="24"/>
        </w:rPr>
        <w:t xml:space="preserve"> </w:t>
      </w:r>
      <w:r w:rsidRPr="009C6C3C">
        <w:rPr>
          <w:rFonts w:ascii="Times New Roman" w:hAnsi="Times New Roman" w:cs="Times New Roman"/>
          <w:sz w:val="24"/>
          <w:szCs w:val="24"/>
        </w:rPr>
        <w:t xml:space="preserve">turned its focus to the question of fiduciary duty: To the extent that the decedent was constrained by such a duty, it would be inappropriate to treat him as having retained a right.  In holding that the decedent was so constrained, the Court considered each of the following questions: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ind w:left="1440"/>
        <w:rPr>
          <w:rFonts w:ascii="Times New Roman" w:hAnsi="Times New Roman" w:cs="Times New Roman"/>
          <w:sz w:val="24"/>
          <w:szCs w:val="24"/>
        </w:rPr>
      </w:pPr>
      <w:r w:rsidRPr="009C6C3C">
        <w:rPr>
          <w:rFonts w:ascii="Times New Roman" w:hAnsi="Times New Roman" w:cs="Times New Roman"/>
          <w:sz w:val="24"/>
          <w:szCs w:val="24"/>
        </w:rPr>
        <w:t>Did the decedent, as a majority shareholder in a corporation conducting an active business, owe fiduciary duties to the minority shareholders, some of whom were unrelated, that constrained him from ignoring the corporation’s business interests in favor of his personal or familial predilections?</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ind w:left="1440"/>
        <w:rPr>
          <w:rFonts w:ascii="Times New Roman" w:hAnsi="Times New Roman" w:cs="Times New Roman"/>
          <w:sz w:val="24"/>
          <w:szCs w:val="24"/>
        </w:rPr>
      </w:pPr>
      <w:r w:rsidRPr="009C6C3C">
        <w:rPr>
          <w:rFonts w:ascii="Times New Roman" w:hAnsi="Times New Roman" w:cs="Times New Roman"/>
          <w:sz w:val="24"/>
          <w:szCs w:val="24"/>
        </w:rPr>
        <w:t xml:space="preserve"> Did the corporation’s directors owe a fiduciary duty to the minority </w:t>
      </w:r>
      <w:r w:rsidR="00515B40" w:rsidRPr="009C6C3C">
        <w:rPr>
          <w:rFonts w:ascii="Times New Roman" w:hAnsi="Times New Roman" w:cs="Times New Roman"/>
          <w:sz w:val="24"/>
          <w:szCs w:val="24"/>
        </w:rPr>
        <w:t xml:space="preserve">shareholders </w:t>
      </w:r>
      <w:r w:rsidRPr="009C6C3C">
        <w:rPr>
          <w:rFonts w:ascii="Times New Roman" w:hAnsi="Times New Roman" w:cs="Times New Roman"/>
          <w:sz w:val="24"/>
          <w:szCs w:val="24"/>
        </w:rPr>
        <w:t xml:space="preserve">that would constrain them from simply carrying out the decedent’s directions concerning dividend-related decisions?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ind w:left="1440"/>
        <w:rPr>
          <w:rFonts w:ascii="Times New Roman" w:hAnsi="Times New Roman" w:cs="Times New Roman"/>
          <w:sz w:val="24"/>
          <w:szCs w:val="24"/>
        </w:rPr>
      </w:pPr>
      <w:r w:rsidRPr="009C6C3C">
        <w:rPr>
          <w:rFonts w:ascii="Times New Roman" w:hAnsi="Times New Roman" w:cs="Times New Roman"/>
          <w:sz w:val="24"/>
          <w:szCs w:val="24"/>
        </w:rPr>
        <w:t xml:space="preserve">And would the corporate trustee of a trust holding stock in the corporation for the benefit of the decedent’s descendants seek to hold the decedent accountable for any breach of his duty in order to discharge its own duties as trustee?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276BEB"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Concededly, the Court did in fact reach an affirmative answer in the case of all three questions. The decision makes more sense, however, if it is understood to require a finding of constraint sufficient to negate estate-tax inclusion based on an affirmative answer to </w:t>
      </w:r>
      <w:r w:rsidRPr="004232F5">
        <w:rPr>
          <w:rFonts w:ascii="Times New Roman" w:hAnsi="Times New Roman" w:cs="Times New Roman"/>
          <w:i/>
          <w:sz w:val="24"/>
          <w:szCs w:val="24"/>
        </w:rPr>
        <w:t>any one</w:t>
      </w:r>
      <w:r w:rsidRPr="009C6C3C">
        <w:rPr>
          <w:rFonts w:ascii="Times New Roman" w:hAnsi="Times New Roman" w:cs="Times New Roman"/>
          <w:sz w:val="24"/>
          <w:szCs w:val="24"/>
        </w:rPr>
        <w:t xml:space="preserve"> of these questions.  </w:t>
      </w:r>
    </w:p>
    <w:p w:rsidR="00276BEB" w:rsidRPr="009C6C3C" w:rsidRDefault="00276BEB"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Consider, for example, the last question.  If the decedent had sought to force the directors to withhold dividend distributions based on an argument he had with his children, the trustee would have been obliged to sue him as a matter of its own fiduciary duty.  Given the constraint of such a possible suit, the decedent could not be treated as having retained a legally enforceable right to force his dividend-related preferences on the directors.  This would be true even if there were no unrelated minority shareholders – i.</w:t>
      </w:r>
      <w:r w:rsidR="00C10BAA" w:rsidRPr="009C6C3C">
        <w:rPr>
          <w:rFonts w:ascii="Times New Roman" w:hAnsi="Times New Roman" w:cs="Times New Roman"/>
          <w:sz w:val="24"/>
          <w:szCs w:val="24"/>
        </w:rPr>
        <w:t>e., if the only</w:t>
      </w:r>
      <w:r w:rsidRPr="009C6C3C">
        <w:rPr>
          <w:rFonts w:ascii="Times New Roman" w:hAnsi="Times New Roman" w:cs="Times New Roman"/>
          <w:sz w:val="24"/>
          <w:szCs w:val="24"/>
        </w:rPr>
        <w:t xml:space="preserve"> other shareholder were the trust for the benefit of the descendants – or if the corporation held only investment </w:t>
      </w:r>
      <w:r w:rsidR="00515B40" w:rsidRPr="009C6C3C">
        <w:rPr>
          <w:rFonts w:ascii="Times New Roman" w:hAnsi="Times New Roman" w:cs="Times New Roman"/>
          <w:sz w:val="24"/>
          <w:szCs w:val="24"/>
        </w:rPr>
        <w:t xml:space="preserve">(portfolio-type) </w:t>
      </w:r>
      <w:r w:rsidRPr="009C6C3C">
        <w:rPr>
          <w:rFonts w:ascii="Times New Roman" w:hAnsi="Times New Roman" w:cs="Times New Roman"/>
          <w:sz w:val="24"/>
          <w:szCs w:val="24"/>
        </w:rPr>
        <w:t xml:space="preserve">assets rather than </w:t>
      </w:r>
      <w:r w:rsidR="00515B40" w:rsidRPr="009C6C3C">
        <w:rPr>
          <w:rFonts w:ascii="Times New Roman" w:hAnsi="Times New Roman" w:cs="Times New Roman"/>
          <w:sz w:val="24"/>
          <w:szCs w:val="24"/>
        </w:rPr>
        <w:t>operating</w:t>
      </w:r>
      <w:r w:rsidRPr="009C6C3C">
        <w:rPr>
          <w:rFonts w:ascii="Times New Roman" w:hAnsi="Times New Roman" w:cs="Times New Roman"/>
          <w:sz w:val="24"/>
          <w:szCs w:val="24"/>
        </w:rPr>
        <w:t xml:space="preserve"> an active business.  And even though claims based on a failure to pay dividends have a very low likelihood of success,</w:t>
      </w:r>
      <w:r w:rsidR="00A73520" w:rsidRPr="009C6C3C">
        <w:rPr>
          <w:rStyle w:val="FootnoteReference"/>
          <w:rFonts w:ascii="Times New Roman" w:hAnsi="Times New Roman" w:cs="Times New Roman"/>
          <w:sz w:val="24"/>
          <w:szCs w:val="24"/>
        </w:rPr>
        <w:footnoteReference w:id="30"/>
      </w:r>
      <w:r w:rsidRPr="009C6C3C">
        <w:rPr>
          <w:rFonts w:ascii="Times New Roman" w:hAnsi="Times New Roman" w:cs="Times New Roman"/>
          <w:sz w:val="24"/>
          <w:szCs w:val="24"/>
        </w:rPr>
        <w:t xml:space="preserve"> the potential for the assertion of such a claim was a sufficient constraint, according to the </w:t>
      </w:r>
      <w:r w:rsidR="00276BEB" w:rsidRPr="004232F5">
        <w:rPr>
          <w:rFonts w:ascii="Times New Roman" w:hAnsi="Times New Roman" w:cs="Times New Roman"/>
          <w:i/>
          <w:sz w:val="24"/>
          <w:szCs w:val="24"/>
        </w:rPr>
        <w:t>Byrum</w:t>
      </w:r>
      <w:r w:rsidR="00276BEB" w:rsidRPr="009C6C3C">
        <w:rPr>
          <w:rFonts w:ascii="Times New Roman" w:hAnsi="Times New Roman" w:cs="Times New Roman"/>
          <w:sz w:val="24"/>
          <w:szCs w:val="24"/>
        </w:rPr>
        <w:t xml:space="preserve"> </w:t>
      </w:r>
      <w:r w:rsidRPr="009C6C3C">
        <w:rPr>
          <w:rFonts w:ascii="Times New Roman" w:hAnsi="Times New Roman" w:cs="Times New Roman"/>
          <w:sz w:val="24"/>
          <w:szCs w:val="24"/>
        </w:rPr>
        <w:t>majority.</w:t>
      </w:r>
      <w:r w:rsidR="00A73520" w:rsidRPr="009C6C3C">
        <w:rPr>
          <w:rStyle w:val="FootnoteReference"/>
          <w:rFonts w:ascii="Times New Roman" w:hAnsi="Times New Roman" w:cs="Times New Roman"/>
          <w:sz w:val="24"/>
          <w:szCs w:val="24"/>
        </w:rPr>
        <w:footnoteReference w:id="31"/>
      </w:r>
      <w:r w:rsidRPr="009C6C3C">
        <w:rPr>
          <w:rFonts w:ascii="Times New Roman" w:hAnsi="Times New Roman" w:cs="Times New Roman"/>
          <w:sz w:val="24"/>
          <w:szCs w:val="24"/>
        </w:rPr>
        <w:t xml:space="preserve"> </w:t>
      </w:r>
    </w:p>
    <w:p w:rsidR="00174E5A" w:rsidRPr="009C6C3C" w:rsidRDefault="00174E5A" w:rsidP="0055738E">
      <w:pPr>
        <w:autoSpaceDE w:val="0"/>
        <w:autoSpaceDN w:val="0"/>
        <w:adjustRightInd w:val="0"/>
        <w:spacing w:after="0" w:line="240" w:lineRule="auto"/>
        <w:rPr>
          <w:rFonts w:ascii="Times New Roman" w:hAnsi="Times New Roman" w:cs="Times New Roman"/>
          <w:sz w:val="24"/>
          <w:szCs w:val="24"/>
        </w:rPr>
      </w:pPr>
    </w:p>
    <w:p w:rsidR="00174E5A" w:rsidRPr="009C6C3C" w:rsidRDefault="00646FDB"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Undeniably</w:t>
      </w:r>
      <w:r w:rsidR="00174E5A" w:rsidRPr="009C6C3C">
        <w:rPr>
          <w:rFonts w:ascii="Times New Roman" w:hAnsi="Times New Roman" w:cs="Times New Roman"/>
          <w:sz w:val="24"/>
          <w:szCs w:val="24"/>
        </w:rPr>
        <w:t xml:space="preserve">, as a matter of state law, one cannot owe oneself a fiduciary duty.  Or, put differently, a person cannot possess a breach-of-duty claim against herself.  For example, if the decedent owned a ninety-nine percent limited partnership interest and owned all of the membership interests in an LLC that owned the one percent general partnership interest, no argument could be made that fiduciary-duty constraints so impaired the decedent’s interest under state law so as to render it other than a legally enforceable right.  On the other hand, once other parties have an interest in the entity, even if related and irrespective of the passive nature of the assets in the entity, fiduciary duties cannot be ignored under the </w:t>
      </w:r>
      <w:r w:rsidR="00174E5A" w:rsidRPr="009C6C3C">
        <w:rPr>
          <w:rFonts w:ascii="Times New Roman" w:hAnsi="Times New Roman" w:cs="Times New Roman"/>
          <w:i/>
          <w:sz w:val="24"/>
          <w:szCs w:val="24"/>
        </w:rPr>
        <w:t>Byrum</w:t>
      </w:r>
      <w:r w:rsidR="00174E5A" w:rsidRPr="009C6C3C">
        <w:rPr>
          <w:rFonts w:ascii="Times New Roman" w:hAnsi="Times New Roman" w:cs="Times New Roman"/>
          <w:sz w:val="24"/>
          <w:szCs w:val="24"/>
        </w:rPr>
        <w:t xml:space="preserve"> framework.</w:t>
      </w:r>
      <w:r w:rsidR="00174E5A" w:rsidRPr="009C6C3C">
        <w:rPr>
          <w:rStyle w:val="FootnoteReference"/>
          <w:rFonts w:ascii="Times New Roman" w:hAnsi="Times New Roman" w:cs="Times New Roman"/>
          <w:sz w:val="24"/>
          <w:szCs w:val="24"/>
        </w:rPr>
        <w:footnoteReference w:id="32"/>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To suggest, moreover, </w:t>
      </w:r>
      <w:r w:rsidR="00A73520" w:rsidRPr="009C6C3C">
        <w:rPr>
          <w:rFonts w:ascii="Times New Roman" w:hAnsi="Times New Roman" w:cs="Times New Roman"/>
          <w:sz w:val="24"/>
          <w:szCs w:val="24"/>
        </w:rPr>
        <w:t xml:space="preserve">as </w:t>
      </w:r>
      <w:r w:rsidR="00A73520" w:rsidRPr="009C6C3C">
        <w:rPr>
          <w:rFonts w:ascii="Times New Roman" w:hAnsi="Times New Roman" w:cs="Times New Roman"/>
          <w:i/>
          <w:sz w:val="24"/>
          <w:szCs w:val="24"/>
        </w:rPr>
        <w:t>Strangi</w:t>
      </w:r>
      <w:r w:rsidR="00A73520" w:rsidRPr="009C6C3C">
        <w:rPr>
          <w:rFonts w:ascii="Times New Roman" w:hAnsi="Times New Roman" w:cs="Times New Roman"/>
          <w:sz w:val="24"/>
          <w:szCs w:val="24"/>
        </w:rPr>
        <w:t xml:space="preserve"> and </w:t>
      </w:r>
      <w:r w:rsidR="00A73520" w:rsidRPr="009C6C3C">
        <w:rPr>
          <w:rFonts w:ascii="Times New Roman" w:hAnsi="Times New Roman" w:cs="Times New Roman"/>
          <w:i/>
          <w:sz w:val="24"/>
          <w:szCs w:val="24"/>
        </w:rPr>
        <w:t>Powell</w:t>
      </w:r>
      <w:r w:rsidR="00A73520" w:rsidRPr="009C6C3C">
        <w:rPr>
          <w:rFonts w:ascii="Times New Roman" w:hAnsi="Times New Roman" w:cs="Times New Roman"/>
          <w:sz w:val="24"/>
          <w:szCs w:val="24"/>
        </w:rPr>
        <w:t xml:space="preserve"> do, </w:t>
      </w:r>
      <w:r w:rsidRPr="009C6C3C">
        <w:rPr>
          <w:rFonts w:ascii="Times New Roman" w:hAnsi="Times New Roman" w:cs="Times New Roman"/>
          <w:sz w:val="24"/>
          <w:szCs w:val="24"/>
        </w:rPr>
        <w:t xml:space="preserve">that a fiduciary duty can only serve as a sufficient constraint if it runs in favor of unrelated parties or if an active business is involved is contrary to the premise of both the majority and the dissent in </w:t>
      </w:r>
      <w:r w:rsidRPr="009C6C3C">
        <w:rPr>
          <w:rFonts w:ascii="Times New Roman" w:hAnsi="Times New Roman" w:cs="Times New Roman"/>
          <w:i/>
          <w:sz w:val="24"/>
          <w:szCs w:val="24"/>
        </w:rPr>
        <w:t>Byrum</w:t>
      </w:r>
      <w:r w:rsidRPr="009C6C3C">
        <w:rPr>
          <w:rFonts w:ascii="Times New Roman" w:hAnsi="Times New Roman" w:cs="Times New Roman"/>
          <w:sz w:val="24"/>
          <w:szCs w:val="24"/>
        </w:rPr>
        <w:t>.</w:t>
      </w:r>
      <w:r w:rsidR="00515B40" w:rsidRPr="009C6C3C">
        <w:rPr>
          <w:rStyle w:val="FootnoteReference"/>
          <w:rFonts w:ascii="Times New Roman" w:hAnsi="Times New Roman" w:cs="Times New Roman"/>
          <w:sz w:val="24"/>
          <w:szCs w:val="24"/>
        </w:rPr>
        <w:footnoteReference w:id="33"/>
      </w:r>
      <w:r w:rsidRPr="009C6C3C">
        <w:rPr>
          <w:rFonts w:ascii="Times New Roman" w:hAnsi="Times New Roman" w:cs="Times New Roman"/>
          <w:sz w:val="24"/>
          <w:szCs w:val="24"/>
        </w:rPr>
        <w:t xml:space="preserve"> </w:t>
      </w:r>
      <w:r w:rsidR="00A73520" w:rsidRPr="009C6C3C">
        <w:rPr>
          <w:rFonts w:ascii="Times New Roman" w:hAnsi="Times New Roman" w:cs="Times New Roman"/>
          <w:sz w:val="24"/>
          <w:szCs w:val="24"/>
        </w:rPr>
        <w:t xml:space="preserve"> </w:t>
      </w:r>
      <w:r w:rsidRPr="009C6C3C">
        <w:rPr>
          <w:rFonts w:ascii="Times New Roman" w:hAnsi="Times New Roman" w:cs="Times New Roman"/>
          <w:sz w:val="24"/>
          <w:szCs w:val="24"/>
        </w:rPr>
        <w:t>To be sure, the majority and the dissent did disagree about the kind of fiduciary duty that could serve as a sufficient constraint.  But</w:t>
      </w:r>
      <w:r w:rsidR="00A600CB" w:rsidRPr="009C6C3C">
        <w:rPr>
          <w:rFonts w:ascii="Times New Roman" w:hAnsi="Times New Roman" w:cs="Times New Roman"/>
          <w:sz w:val="24"/>
          <w:szCs w:val="24"/>
        </w:rPr>
        <w:t>, as will be explained,</w:t>
      </w:r>
      <w:r w:rsidRPr="009C6C3C">
        <w:rPr>
          <w:rFonts w:ascii="Times New Roman" w:hAnsi="Times New Roman" w:cs="Times New Roman"/>
          <w:sz w:val="24"/>
          <w:szCs w:val="24"/>
        </w:rPr>
        <w:t xml:space="preserve"> both opinions endorsed the notion that a fiduciary duty in and of itself can constitute a constraint that negates inclusion even where the duty runs only to family members or passive assets are involved.</w:t>
      </w:r>
      <w:r w:rsidR="00611E5A" w:rsidRPr="009C6C3C">
        <w:rPr>
          <w:rStyle w:val="FootnoteReference"/>
          <w:rFonts w:ascii="Times New Roman" w:hAnsi="Times New Roman" w:cs="Times New Roman"/>
          <w:sz w:val="24"/>
          <w:szCs w:val="24"/>
        </w:rPr>
        <w:footnoteReference w:id="34"/>
      </w:r>
      <w:r w:rsidRPr="009C6C3C">
        <w:rPr>
          <w:rFonts w:ascii="Times New Roman" w:hAnsi="Times New Roman" w:cs="Times New Roman"/>
          <w:sz w:val="24"/>
          <w:szCs w:val="24"/>
        </w:rPr>
        <w:t xml:space="preserve">  </w:t>
      </w:r>
    </w:p>
    <w:p w:rsidR="0007149E" w:rsidRPr="004232F5" w:rsidRDefault="0007149E" w:rsidP="0055738E">
      <w:pPr>
        <w:autoSpaceDE w:val="0"/>
        <w:autoSpaceDN w:val="0"/>
        <w:adjustRightInd w:val="0"/>
        <w:spacing w:after="0" w:line="240" w:lineRule="auto"/>
        <w:rPr>
          <w:rFonts w:ascii="Times New Roman" w:hAnsi="Times New Roman" w:cs="Times New Roman"/>
          <w:sz w:val="24"/>
          <w:szCs w:val="24"/>
        </w:rPr>
      </w:pPr>
    </w:p>
    <w:p w:rsidR="0007149E" w:rsidRPr="004232F5" w:rsidRDefault="0007149E" w:rsidP="004232F5">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4232F5">
        <w:rPr>
          <w:rFonts w:ascii="Times New Roman" w:hAnsi="Times New Roman" w:cs="Times New Roman"/>
          <w:sz w:val="24"/>
          <w:szCs w:val="24"/>
        </w:rPr>
        <w:t xml:space="preserve">Fiduciary Duty and </w:t>
      </w:r>
      <w:r w:rsidRPr="00F8647E">
        <w:rPr>
          <w:rFonts w:ascii="Times New Roman" w:hAnsi="Times New Roman" w:cs="Times New Roman"/>
          <w:i/>
          <w:sz w:val="24"/>
          <w:szCs w:val="24"/>
        </w:rPr>
        <w:t>O’Malley</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The two </w:t>
      </w:r>
      <w:r w:rsidR="00A600CB" w:rsidRPr="009C6C3C">
        <w:rPr>
          <w:rFonts w:ascii="Times New Roman" w:hAnsi="Times New Roman" w:cs="Times New Roman"/>
          <w:i/>
          <w:sz w:val="24"/>
          <w:szCs w:val="24"/>
        </w:rPr>
        <w:t>Byrum</w:t>
      </w:r>
      <w:r w:rsidR="00A600CB" w:rsidRPr="009C6C3C">
        <w:rPr>
          <w:rFonts w:ascii="Times New Roman" w:hAnsi="Times New Roman" w:cs="Times New Roman"/>
          <w:sz w:val="24"/>
          <w:szCs w:val="24"/>
        </w:rPr>
        <w:t xml:space="preserve"> </w:t>
      </w:r>
      <w:r w:rsidRPr="009C6C3C">
        <w:rPr>
          <w:rFonts w:ascii="Times New Roman" w:hAnsi="Times New Roman" w:cs="Times New Roman"/>
          <w:sz w:val="24"/>
          <w:szCs w:val="24"/>
        </w:rPr>
        <w:t xml:space="preserve">opinions divided over the significance of the Court’s earlier decision in </w:t>
      </w:r>
      <w:r w:rsidR="00A600CB" w:rsidRPr="009C6C3C">
        <w:rPr>
          <w:rFonts w:ascii="Times New Roman" w:hAnsi="Times New Roman" w:cs="Times New Roman"/>
          <w:i/>
          <w:sz w:val="24"/>
          <w:szCs w:val="24"/>
        </w:rPr>
        <w:t xml:space="preserve">United States v. </w:t>
      </w:r>
      <w:r w:rsidRPr="009C6C3C">
        <w:rPr>
          <w:rFonts w:ascii="Times New Roman" w:hAnsi="Times New Roman" w:cs="Times New Roman"/>
          <w:i/>
          <w:sz w:val="24"/>
          <w:szCs w:val="24"/>
        </w:rPr>
        <w:t>O’Malley</w:t>
      </w:r>
      <w:r w:rsidR="00A600CB" w:rsidRPr="009C6C3C">
        <w:rPr>
          <w:rFonts w:ascii="Times New Roman" w:hAnsi="Times New Roman" w:cs="Times New Roman"/>
          <w:sz w:val="24"/>
          <w:szCs w:val="24"/>
        </w:rPr>
        <w:t>.</w:t>
      </w:r>
      <w:r w:rsidR="00A600CB" w:rsidRPr="009C6C3C">
        <w:rPr>
          <w:rStyle w:val="FootnoteReference"/>
          <w:rFonts w:ascii="Times New Roman" w:hAnsi="Times New Roman" w:cs="Times New Roman"/>
          <w:sz w:val="24"/>
          <w:szCs w:val="24"/>
        </w:rPr>
        <w:footnoteReference w:id="35"/>
      </w:r>
      <w:r w:rsidRPr="009C6C3C">
        <w:rPr>
          <w:rFonts w:ascii="Times New Roman" w:hAnsi="Times New Roman" w:cs="Times New Roman"/>
          <w:sz w:val="24"/>
          <w:szCs w:val="24"/>
        </w:rPr>
        <w:t xml:space="preserve">  The settlor in </w:t>
      </w:r>
      <w:r w:rsidRPr="009C6C3C">
        <w:rPr>
          <w:rFonts w:ascii="Times New Roman" w:hAnsi="Times New Roman" w:cs="Times New Roman"/>
          <w:i/>
          <w:sz w:val="24"/>
          <w:szCs w:val="24"/>
        </w:rPr>
        <w:t>O’Malley</w:t>
      </w:r>
      <w:r w:rsidRPr="009C6C3C">
        <w:rPr>
          <w:rFonts w:ascii="Times New Roman" w:hAnsi="Times New Roman" w:cs="Times New Roman"/>
          <w:sz w:val="24"/>
          <w:szCs w:val="24"/>
        </w:rPr>
        <w:t xml:space="preserve"> was one of three trustees of a discretionary trust for the benefit of his children and wife.</w:t>
      </w:r>
      <w:r w:rsidR="00D0125C" w:rsidRPr="009C6C3C">
        <w:rPr>
          <w:rStyle w:val="FootnoteReference"/>
          <w:rFonts w:ascii="Times New Roman" w:hAnsi="Times New Roman" w:cs="Times New Roman"/>
          <w:sz w:val="24"/>
          <w:szCs w:val="24"/>
        </w:rPr>
        <w:footnoteReference w:id="36"/>
      </w:r>
      <w:r w:rsidRPr="009C6C3C">
        <w:rPr>
          <w:rFonts w:ascii="Times New Roman" w:hAnsi="Times New Roman" w:cs="Times New Roman"/>
          <w:sz w:val="24"/>
          <w:szCs w:val="24"/>
        </w:rPr>
        <w:t xml:space="preserve">  Under the instrument, the trustees had discretion concerning distributions to the beneficiaries.</w:t>
      </w:r>
      <w:r w:rsidR="00D0125C" w:rsidRPr="009C6C3C">
        <w:rPr>
          <w:rStyle w:val="FootnoteReference"/>
          <w:rFonts w:ascii="Times New Roman" w:hAnsi="Times New Roman" w:cs="Times New Roman"/>
          <w:sz w:val="24"/>
          <w:szCs w:val="24"/>
        </w:rPr>
        <w:footnoteReference w:id="37"/>
      </w:r>
      <w:r w:rsidRPr="009C6C3C">
        <w:rPr>
          <w:rFonts w:ascii="Times New Roman" w:hAnsi="Times New Roman" w:cs="Times New Roman"/>
          <w:sz w:val="24"/>
          <w:szCs w:val="24"/>
        </w:rPr>
        <w:t xml:space="preserve">  No standard limiting or guiding the trustee’s discretion was included in the instrument.</w:t>
      </w:r>
      <w:r w:rsidR="00D0125C" w:rsidRPr="009C6C3C">
        <w:rPr>
          <w:rStyle w:val="FootnoteReference"/>
          <w:rFonts w:ascii="Times New Roman" w:hAnsi="Times New Roman" w:cs="Times New Roman"/>
          <w:sz w:val="24"/>
          <w:szCs w:val="24"/>
        </w:rPr>
        <w:footnoteReference w:id="38"/>
      </w:r>
      <w:r w:rsidRPr="009C6C3C">
        <w:rPr>
          <w:rFonts w:ascii="Times New Roman" w:hAnsi="Times New Roman" w:cs="Times New Roman"/>
          <w:sz w:val="24"/>
          <w:szCs w:val="24"/>
        </w:rPr>
        <w:t xml:space="preserve">  Despite the settlor’s fiduciary duty as trustee and the resulting possibility that he could have been held accountable by the beneficiaries for breaching his duty, the Court held that section 2036(a)(2) applied because the settlor could exercise his discretion in conjunction with his co-trustees.</w:t>
      </w:r>
      <w:r w:rsidR="00A600CB" w:rsidRPr="009C6C3C">
        <w:rPr>
          <w:rStyle w:val="FootnoteReference"/>
          <w:rFonts w:ascii="Times New Roman" w:hAnsi="Times New Roman" w:cs="Times New Roman"/>
          <w:sz w:val="24"/>
          <w:szCs w:val="24"/>
        </w:rPr>
        <w:footnoteReference w:id="39"/>
      </w:r>
      <w:r w:rsidRPr="009C6C3C">
        <w:rPr>
          <w:rFonts w:ascii="Times New Roman" w:hAnsi="Times New Roman" w:cs="Times New Roman"/>
          <w:sz w:val="24"/>
          <w:szCs w:val="24"/>
        </w:rPr>
        <w:t xml:space="preserve">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The </w:t>
      </w:r>
      <w:r w:rsidRPr="009C6C3C">
        <w:rPr>
          <w:rFonts w:ascii="Times New Roman" w:hAnsi="Times New Roman" w:cs="Times New Roman"/>
          <w:i/>
          <w:sz w:val="24"/>
          <w:szCs w:val="24"/>
        </w:rPr>
        <w:t>Byrum</w:t>
      </w:r>
      <w:r w:rsidRPr="009C6C3C">
        <w:rPr>
          <w:rFonts w:ascii="Times New Roman" w:hAnsi="Times New Roman" w:cs="Times New Roman"/>
          <w:sz w:val="24"/>
          <w:szCs w:val="24"/>
        </w:rPr>
        <w:t xml:space="preserve"> dissent argued that since the fiduciary duty normally imposed on trustees was determined not to constitute a sufficient constraint in </w:t>
      </w:r>
      <w:r w:rsidRPr="009C6C3C">
        <w:rPr>
          <w:rFonts w:ascii="Times New Roman" w:hAnsi="Times New Roman" w:cs="Times New Roman"/>
          <w:i/>
          <w:sz w:val="24"/>
          <w:szCs w:val="24"/>
        </w:rPr>
        <w:t>O’Malley</w:t>
      </w:r>
      <w:r w:rsidRPr="009C6C3C">
        <w:rPr>
          <w:rFonts w:ascii="Times New Roman" w:hAnsi="Times New Roman" w:cs="Times New Roman"/>
          <w:sz w:val="24"/>
          <w:szCs w:val="24"/>
        </w:rPr>
        <w:t xml:space="preserve">, the corporate fiduciary duty in </w:t>
      </w:r>
      <w:r w:rsidRPr="009C6C3C">
        <w:rPr>
          <w:rFonts w:ascii="Times New Roman" w:hAnsi="Times New Roman" w:cs="Times New Roman"/>
          <w:i/>
          <w:sz w:val="24"/>
          <w:szCs w:val="24"/>
        </w:rPr>
        <w:t>Byrum</w:t>
      </w:r>
      <w:r w:rsidRPr="009C6C3C">
        <w:rPr>
          <w:rFonts w:ascii="Times New Roman" w:hAnsi="Times New Roman" w:cs="Times New Roman"/>
          <w:sz w:val="24"/>
          <w:szCs w:val="24"/>
        </w:rPr>
        <w:t xml:space="preserve"> could not negate inclusion.</w:t>
      </w:r>
      <w:r w:rsidR="005D32EB" w:rsidRPr="009C6C3C">
        <w:rPr>
          <w:rStyle w:val="FootnoteReference"/>
          <w:rFonts w:ascii="Times New Roman" w:hAnsi="Times New Roman" w:cs="Times New Roman"/>
          <w:sz w:val="24"/>
          <w:szCs w:val="24"/>
        </w:rPr>
        <w:footnoteReference w:id="40"/>
      </w:r>
      <w:r w:rsidRPr="009C6C3C">
        <w:rPr>
          <w:rFonts w:ascii="Times New Roman" w:hAnsi="Times New Roman" w:cs="Times New Roman"/>
          <w:sz w:val="24"/>
          <w:szCs w:val="24"/>
        </w:rPr>
        <w:t xml:space="preserve">  It argued that </w:t>
      </w:r>
      <w:r w:rsidRPr="009C6C3C">
        <w:rPr>
          <w:rFonts w:ascii="Times New Roman" w:hAnsi="Times New Roman" w:cs="Times New Roman"/>
          <w:i/>
          <w:sz w:val="24"/>
          <w:szCs w:val="24"/>
        </w:rPr>
        <w:t>O’Malley</w:t>
      </w:r>
      <w:r w:rsidRPr="009C6C3C">
        <w:rPr>
          <w:rFonts w:ascii="Times New Roman" w:hAnsi="Times New Roman" w:cs="Times New Roman"/>
          <w:sz w:val="24"/>
          <w:szCs w:val="24"/>
        </w:rPr>
        <w:t xml:space="preserve"> was controlling on the theory that the corporate fiduciary duty in </w:t>
      </w:r>
      <w:r w:rsidRPr="009C6C3C">
        <w:rPr>
          <w:rFonts w:ascii="Times New Roman" w:hAnsi="Times New Roman" w:cs="Times New Roman"/>
          <w:i/>
          <w:sz w:val="24"/>
          <w:szCs w:val="24"/>
        </w:rPr>
        <w:t>Bryum</w:t>
      </w:r>
      <w:r w:rsidRPr="009C6C3C">
        <w:rPr>
          <w:rFonts w:ascii="Times New Roman" w:hAnsi="Times New Roman" w:cs="Times New Roman"/>
          <w:sz w:val="24"/>
          <w:szCs w:val="24"/>
        </w:rPr>
        <w:t xml:space="preserve"> was no different from the trustee’s fiduciary duty in </w:t>
      </w:r>
      <w:r w:rsidRPr="009C6C3C">
        <w:rPr>
          <w:rFonts w:ascii="Times New Roman" w:hAnsi="Times New Roman" w:cs="Times New Roman"/>
          <w:i/>
          <w:sz w:val="24"/>
          <w:szCs w:val="24"/>
        </w:rPr>
        <w:t>O’Malley</w:t>
      </w:r>
      <w:r w:rsidRPr="009C6C3C">
        <w:rPr>
          <w:rFonts w:ascii="Times New Roman" w:hAnsi="Times New Roman" w:cs="Times New Roman"/>
          <w:sz w:val="24"/>
          <w:szCs w:val="24"/>
        </w:rPr>
        <w:t>.</w:t>
      </w:r>
      <w:r w:rsidR="00A600CB" w:rsidRPr="009C6C3C">
        <w:rPr>
          <w:rStyle w:val="FootnoteReference"/>
          <w:rFonts w:ascii="Times New Roman" w:hAnsi="Times New Roman" w:cs="Times New Roman"/>
          <w:sz w:val="24"/>
          <w:szCs w:val="24"/>
        </w:rPr>
        <w:footnoteReference w:id="41"/>
      </w:r>
      <w:r w:rsidRPr="009C6C3C">
        <w:rPr>
          <w:rFonts w:ascii="Times New Roman" w:hAnsi="Times New Roman" w:cs="Times New Roman"/>
          <w:sz w:val="24"/>
          <w:szCs w:val="24"/>
        </w:rPr>
        <w:t xml:space="preserve">  The majority replied that, under the terms of the </w:t>
      </w:r>
      <w:r w:rsidRPr="009C6C3C">
        <w:rPr>
          <w:rFonts w:ascii="Times New Roman" w:hAnsi="Times New Roman" w:cs="Times New Roman"/>
          <w:i/>
          <w:sz w:val="24"/>
          <w:szCs w:val="24"/>
        </w:rPr>
        <w:t>O’Malley</w:t>
      </w:r>
      <w:r w:rsidRPr="009C6C3C">
        <w:rPr>
          <w:rFonts w:ascii="Times New Roman" w:hAnsi="Times New Roman" w:cs="Times New Roman"/>
          <w:sz w:val="24"/>
          <w:szCs w:val="24"/>
        </w:rPr>
        <w:t xml:space="preserve"> instrument, the settlor had explicitly retained the legally enforceable right to exercise discretion concerning distributions, whereas, in </w:t>
      </w:r>
      <w:r w:rsidRPr="009C6C3C">
        <w:rPr>
          <w:rFonts w:ascii="Times New Roman" w:hAnsi="Times New Roman" w:cs="Times New Roman"/>
          <w:i/>
          <w:sz w:val="24"/>
          <w:szCs w:val="24"/>
        </w:rPr>
        <w:t>Byrum</w:t>
      </w:r>
      <w:r w:rsidRPr="009C6C3C">
        <w:rPr>
          <w:rFonts w:ascii="Times New Roman" w:hAnsi="Times New Roman" w:cs="Times New Roman"/>
          <w:sz w:val="24"/>
          <w:szCs w:val="24"/>
        </w:rPr>
        <w:t>, the decedent had not inserted in any</w:t>
      </w:r>
      <w:r w:rsidR="005D32EB" w:rsidRPr="009C6C3C">
        <w:rPr>
          <w:rFonts w:ascii="Times New Roman" w:hAnsi="Times New Roman" w:cs="Times New Roman"/>
          <w:sz w:val="24"/>
          <w:szCs w:val="24"/>
        </w:rPr>
        <w:t xml:space="preserve"> of the documents such a</w:t>
      </w:r>
      <w:r w:rsidRPr="009C6C3C">
        <w:rPr>
          <w:rFonts w:ascii="Times New Roman" w:hAnsi="Times New Roman" w:cs="Times New Roman"/>
          <w:sz w:val="24"/>
          <w:szCs w:val="24"/>
        </w:rPr>
        <w:t xml:space="preserve"> right</w:t>
      </w:r>
      <w:r w:rsidR="005D32EB" w:rsidRPr="009C6C3C">
        <w:rPr>
          <w:rStyle w:val="FootnoteReference"/>
          <w:rFonts w:ascii="Times New Roman" w:hAnsi="Times New Roman" w:cs="Times New Roman"/>
          <w:sz w:val="24"/>
          <w:szCs w:val="24"/>
        </w:rPr>
        <w:footnoteReference w:id="42"/>
      </w:r>
      <w:r w:rsidRPr="009C6C3C">
        <w:rPr>
          <w:rFonts w:ascii="Times New Roman" w:hAnsi="Times New Roman" w:cs="Times New Roman"/>
          <w:sz w:val="24"/>
          <w:szCs w:val="24"/>
        </w:rPr>
        <w:t xml:space="preserve"> to make decisions based on personal (non-corporate) interests.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Most important, in the course of arguing that </w:t>
      </w:r>
      <w:r w:rsidRPr="009C6C3C">
        <w:rPr>
          <w:rFonts w:ascii="Times New Roman" w:hAnsi="Times New Roman" w:cs="Times New Roman"/>
          <w:i/>
          <w:sz w:val="24"/>
          <w:szCs w:val="24"/>
        </w:rPr>
        <w:t>O’Malley</w:t>
      </w:r>
      <w:r w:rsidRPr="009C6C3C">
        <w:rPr>
          <w:rFonts w:ascii="Times New Roman" w:hAnsi="Times New Roman" w:cs="Times New Roman"/>
          <w:sz w:val="24"/>
          <w:szCs w:val="24"/>
        </w:rPr>
        <w:t xml:space="preserve"> was controlling, the</w:t>
      </w:r>
      <w:r w:rsidR="00F8647E">
        <w:rPr>
          <w:rFonts w:ascii="Times New Roman" w:hAnsi="Times New Roman" w:cs="Times New Roman"/>
          <w:sz w:val="24"/>
          <w:szCs w:val="24"/>
        </w:rPr>
        <w:t xml:space="preserve"> </w:t>
      </w:r>
      <w:r w:rsidR="00F8647E">
        <w:rPr>
          <w:rFonts w:ascii="Times New Roman" w:hAnsi="Times New Roman" w:cs="Times New Roman"/>
          <w:i/>
          <w:sz w:val="24"/>
          <w:szCs w:val="24"/>
        </w:rPr>
        <w:t>Byrum</w:t>
      </w:r>
      <w:r w:rsidRPr="009C6C3C">
        <w:rPr>
          <w:rFonts w:ascii="Times New Roman" w:hAnsi="Times New Roman" w:cs="Times New Roman"/>
          <w:sz w:val="24"/>
          <w:szCs w:val="24"/>
        </w:rPr>
        <w:t xml:space="preserve"> dissent acknowledged that, if a provision had been inserted in the </w:t>
      </w:r>
      <w:r w:rsidRPr="009C6C3C">
        <w:rPr>
          <w:rFonts w:ascii="Times New Roman" w:hAnsi="Times New Roman" w:cs="Times New Roman"/>
          <w:i/>
          <w:sz w:val="24"/>
          <w:szCs w:val="24"/>
        </w:rPr>
        <w:t>O’Malley</w:t>
      </w:r>
      <w:r w:rsidRPr="009C6C3C">
        <w:rPr>
          <w:rFonts w:ascii="Times New Roman" w:hAnsi="Times New Roman" w:cs="Times New Roman"/>
          <w:sz w:val="24"/>
          <w:szCs w:val="24"/>
        </w:rPr>
        <w:t xml:space="preserve"> trust instrument limiting the trustees’ discretion by an ascertainable standard (i.e., one enforceable under state law) – for example, a standard based on health, education or support – it would have constituted a sufficient constraint to negate inclusion.</w:t>
      </w:r>
      <w:r w:rsidR="005D32EB" w:rsidRPr="009C6C3C">
        <w:rPr>
          <w:rStyle w:val="FootnoteReference"/>
          <w:rFonts w:ascii="Times New Roman" w:hAnsi="Times New Roman" w:cs="Times New Roman"/>
          <w:sz w:val="24"/>
          <w:szCs w:val="24"/>
        </w:rPr>
        <w:footnoteReference w:id="43"/>
      </w:r>
      <w:r w:rsidRPr="009C6C3C">
        <w:rPr>
          <w:rFonts w:ascii="Times New Roman" w:hAnsi="Times New Roman" w:cs="Times New Roman"/>
          <w:sz w:val="24"/>
          <w:szCs w:val="24"/>
        </w:rPr>
        <w:t xml:space="preserve">  The dissent referred to a line of authority holding that an ascertainable standard creating a duty to family members does constitute such a constraint without regard to the active or passive nature of the trust’s investment.</w:t>
      </w:r>
      <w:r w:rsidR="00966790" w:rsidRPr="009C6C3C">
        <w:rPr>
          <w:rStyle w:val="FootnoteReference"/>
          <w:rFonts w:ascii="Times New Roman" w:hAnsi="Times New Roman" w:cs="Times New Roman"/>
          <w:sz w:val="24"/>
          <w:szCs w:val="24"/>
        </w:rPr>
        <w:footnoteReference w:id="44"/>
      </w:r>
      <w:r w:rsidRPr="009C6C3C">
        <w:rPr>
          <w:rFonts w:ascii="Times New Roman" w:hAnsi="Times New Roman" w:cs="Times New Roman"/>
          <w:sz w:val="24"/>
          <w:szCs w:val="24"/>
        </w:rPr>
        <w:t xml:space="preserve">  The majority implicitly agreed with the dissent on this point.  Indeed, even the IRS accepts that such an ascertainable standard is a constraint.</w:t>
      </w:r>
      <w:r w:rsidR="00762540" w:rsidRPr="009C6C3C">
        <w:rPr>
          <w:rStyle w:val="FootnoteReference"/>
          <w:rFonts w:ascii="Times New Roman" w:hAnsi="Times New Roman" w:cs="Times New Roman"/>
          <w:sz w:val="24"/>
          <w:szCs w:val="24"/>
        </w:rPr>
        <w:footnoteReference w:id="45"/>
      </w:r>
      <w:r w:rsidRPr="009C6C3C">
        <w:rPr>
          <w:rFonts w:ascii="Times New Roman" w:hAnsi="Times New Roman" w:cs="Times New Roman"/>
          <w:sz w:val="24"/>
          <w:szCs w:val="24"/>
        </w:rPr>
        <w:t xml:space="preserve">  Thus, all nine </w:t>
      </w:r>
      <w:r w:rsidR="00762540" w:rsidRPr="009C6C3C">
        <w:rPr>
          <w:rFonts w:ascii="Times New Roman" w:hAnsi="Times New Roman" w:cs="Times New Roman"/>
          <w:sz w:val="24"/>
          <w:szCs w:val="24"/>
        </w:rPr>
        <w:t>Justices</w:t>
      </w:r>
      <w:r w:rsidRPr="009C6C3C">
        <w:rPr>
          <w:rFonts w:ascii="Times New Roman" w:hAnsi="Times New Roman" w:cs="Times New Roman"/>
          <w:sz w:val="24"/>
          <w:szCs w:val="24"/>
        </w:rPr>
        <w:t>, as well as the IRS itself, agree that a fiduciary duty owed to family members is a sufficient constraint without regard to the active or passive nature of the underlying investments.</w:t>
      </w:r>
    </w:p>
    <w:p w:rsidR="0007149E" w:rsidRPr="009C6C3C" w:rsidRDefault="0007149E" w:rsidP="0055738E">
      <w:pPr>
        <w:autoSpaceDE w:val="0"/>
        <w:autoSpaceDN w:val="0"/>
        <w:adjustRightInd w:val="0"/>
        <w:spacing w:after="0" w:line="240" w:lineRule="auto"/>
        <w:rPr>
          <w:rFonts w:ascii="Times New Roman" w:hAnsi="Times New Roman" w:cs="Times New Roman"/>
          <w:sz w:val="24"/>
          <w:szCs w:val="24"/>
        </w:rPr>
      </w:pPr>
    </w:p>
    <w:p w:rsidR="0007149E" w:rsidRPr="00F8647E" w:rsidRDefault="0007149E" w:rsidP="004232F5">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536909">
        <w:rPr>
          <w:rFonts w:ascii="Times New Roman" w:hAnsi="Times New Roman" w:cs="Times New Roman"/>
          <w:i/>
          <w:sz w:val="24"/>
          <w:szCs w:val="24"/>
        </w:rPr>
        <w:t>Powell</w:t>
      </w:r>
      <w:r w:rsidRPr="00F8647E">
        <w:rPr>
          <w:rFonts w:ascii="Times New Roman" w:hAnsi="Times New Roman" w:cs="Times New Roman"/>
          <w:sz w:val="24"/>
          <w:szCs w:val="24"/>
        </w:rPr>
        <w:t xml:space="preserve">’s </w:t>
      </w:r>
      <w:r w:rsidR="00646FDB" w:rsidRPr="00F8647E">
        <w:rPr>
          <w:rFonts w:ascii="Times New Roman" w:hAnsi="Times New Roman" w:cs="Times New Roman"/>
          <w:sz w:val="24"/>
          <w:szCs w:val="24"/>
        </w:rPr>
        <w:t xml:space="preserve">Reading of </w:t>
      </w:r>
      <w:r w:rsidR="00646FDB" w:rsidRPr="00536909">
        <w:rPr>
          <w:rFonts w:ascii="Times New Roman" w:hAnsi="Times New Roman" w:cs="Times New Roman"/>
          <w:i/>
          <w:sz w:val="24"/>
          <w:szCs w:val="24"/>
        </w:rPr>
        <w:t>Byrum</w:t>
      </w:r>
      <w:r w:rsidR="00646FDB" w:rsidRPr="00F8647E">
        <w:rPr>
          <w:rFonts w:ascii="Times New Roman" w:hAnsi="Times New Roman" w:cs="Times New Roman"/>
          <w:sz w:val="24"/>
          <w:szCs w:val="24"/>
        </w:rPr>
        <w:t xml:space="preserve"> Belied by</w:t>
      </w:r>
      <w:r w:rsidRPr="00F8647E">
        <w:rPr>
          <w:rFonts w:ascii="Times New Roman" w:hAnsi="Times New Roman" w:cs="Times New Roman"/>
          <w:sz w:val="24"/>
          <w:szCs w:val="24"/>
        </w:rPr>
        <w:t xml:space="preserve"> </w:t>
      </w:r>
      <w:r w:rsidRPr="00536909">
        <w:rPr>
          <w:rFonts w:ascii="Times New Roman" w:hAnsi="Times New Roman" w:cs="Times New Roman"/>
          <w:i/>
          <w:sz w:val="24"/>
          <w:szCs w:val="24"/>
        </w:rPr>
        <w:t>Byrum</w:t>
      </w:r>
      <w:r w:rsidRPr="00F8647E">
        <w:rPr>
          <w:rFonts w:ascii="Times New Roman" w:hAnsi="Times New Roman" w:cs="Times New Roman"/>
          <w:sz w:val="24"/>
          <w:szCs w:val="24"/>
        </w:rPr>
        <w:t xml:space="preserve"> Dissent</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07149E" w:rsidRPr="009C6C3C" w:rsidRDefault="0007149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Although not acknowledged by the </w:t>
      </w:r>
      <w:r w:rsidRPr="00536909">
        <w:rPr>
          <w:rFonts w:ascii="Times New Roman" w:hAnsi="Times New Roman" w:cs="Times New Roman"/>
          <w:i/>
          <w:sz w:val="24"/>
          <w:szCs w:val="24"/>
        </w:rPr>
        <w:t>Powell</w:t>
      </w:r>
      <w:r w:rsidRPr="009C6C3C">
        <w:rPr>
          <w:rFonts w:ascii="Times New Roman" w:hAnsi="Times New Roman" w:cs="Times New Roman"/>
          <w:sz w:val="24"/>
          <w:szCs w:val="24"/>
        </w:rPr>
        <w:t xml:space="preserve"> court, the nature of the divide between the majority and the dissent in </w:t>
      </w:r>
      <w:r w:rsidRPr="009C6C3C">
        <w:rPr>
          <w:rFonts w:ascii="Times New Roman" w:hAnsi="Times New Roman" w:cs="Times New Roman"/>
          <w:i/>
          <w:sz w:val="24"/>
          <w:szCs w:val="24"/>
        </w:rPr>
        <w:t>Byrum</w:t>
      </w:r>
      <w:r w:rsidRPr="009C6C3C">
        <w:rPr>
          <w:rFonts w:ascii="Times New Roman" w:hAnsi="Times New Roman" w:cs="Times New Roman"/>
          <w:sz w:val="24"/>
          <w:szCs w:val="24"/>
        </w:rPr>
        <w:t xml:space="preserve"> supports the reading </w:t>
      </w:r>
      <w:r w:rsidR="0055738E" w:rsidRPr="009C6C3C">
        <w:rPr>
          <w:rFonts w:ascii="Times New Roman" w:hAnsi="Times New Roman" w:cs="Times New Roman"/>
          <w:sz w:val="24"/>
          <w:szCs w:val="24"/>
        </w:rPr>
        <w:t xml:space="preserve">that section 2036(a)(2) cannot apply in the absence of a legally enforceable right.  </w:t>
      </w:r>
      <w:r w:rsidRPr="009C6C3C">
        <w:rPr>
          <w:rFonts w:ascii="Times New Roman" w:hAnsi="Times New Roman" w:cs="Times New Roman"/>
          <w:sz w:val="24"/>
          <w:szCs w:val="24"/>
        </w:rPr>
        <w:t>T</w:t>
      </w:r>
      <w:r w:rsidR="0055738E" w:rsidRPr="009C6C3C">
        <w:rPr>
          <w:rFonts w:ascii="Times New Roman" w:hAnsi="Times New Roman" w:cs="Times New Roman"/>
          <w:sz w:val="24"/>
          <w:szCs w:val="24"/>
        </w:rPr>
        <w:t xml:space="preserve">he principal point of contention between the majority and dissent concerned the decedent’s raw or </w:t>
      </w:r>
      <w:r w:rsidR="0055738E" w:rsidRPr="00557C76">
        <w:rPr>
          <w:rFonts w:ascii="Times New Roman" w:hAnsi="Times New Roman" w:cs="Times New Roman"/>
          <w:i/>
          <w:sz w:val="24"/>
          <w:szCs w:val="24"/>
        </w:rPr>
        <w:t>de facto</w:t>
      </w:r>
      <w:r w:rsidR="0055738E" w:rsidRPr="009C6C3C">
        <w:rPr>
          <w:rFonts w:ascii="Times New Roman" w:hAnsi="Times New Roman" w:cs="Times New Roman"/>
          <w:sz w:val="24"/>
          <w:szCs w:val="24"/>
        </w:rPr>
        <w:t xml:space="preserve"> power to control dividend policy.  The dissent argued that the </w:t>
      </w:r>
      <w:r w:rsidR="0055738E" w:rsidRPr="009C6C3C">
        <w:rPr>
          <w:rFonts w:ascii="Times New Roman" w:hAnsi="Times New Roman" w:cs="Times New Roman"/>
          <w:i/>
          <w:sz w:val="24"/>
          <w:szCs w:val="24"/>
        </w:rPr>
        <w:t>O’Malley</w:t>
      </w:r>
      <w:r w:rsidR="0055738E" w:rsidRPr="009C6C3C">
        <w:rPr>
          <w:rFonts w:ascii="Times New Roman" w:hAnsi="Times New Roman" w:cs="Times New Roman"/>
          <w:sz w:val="24"/>
          <w:szCs w:val="24"/>
        </w:rPr>
        <w:t xml:space="preserve"> Court, having used the word “power,” contemplated a focus on the practical reality of the settlor’s retained power, not a theoretical inquiry as to whether the decedent had retained a legally enforceable right.</w:t>
      </w:r>
      <w:r w:rsidR="00C45DB4" w:rsidRPr="009C6C3C">
        <w:rPr>
          <w:rStyle w:val="FootnoteReference"/>
          <w:rFonts w:ascii="Times New Roman" w:hAnsi="Times New Roman" w:cs="Times New Roman"/>
          <w:sz w:val="24"/>
          <w:szCs w:val="24"/>
        </w:rPr>
        <w:footnoteReference w:id="46"/>
      </w:r>
      <w:r w:rsidR="0055738E" w:rsidRPr="009C6C3C">
        <w:rPr>
          <w:rFonts w:ascii="Times New Roman" w:hAnsi="Times New Roman" w:cs="Times New Roman"/>
          <w:sz w:val="24"/>
          <w:szCs w:val="24"/>
        </w:rPr>
        <w:t xml:space="preserve">  But the majority categorically rejected this argument, saying that the use of the word “right” in section 2036(a)(2) requires that it be legally enforceable.</w:t>
      </w:r>
      <w:r w:rsidR="00C45DB4" w:rsidRPr="009C6C3C">
        <w:rPr>
          <w:rStyle w:val="FootnoteReference"/>
          <w:rFonts w:ascii="Times New Roman" w:hAnsi="Times New Roman" w:cs="Times New Roman"/>
          <w:sz w:val="24"/>
          <w:szCs w:val="24"/>
        </w:rPr>
        <w:footnoteReference w:id="47"/>
      </w:r>
      <w:r w:rsidR="0055738E" w:rsidRPr="009C6C3C">
        <w:rPr>
          <w:rFonts w:ascii="Times New Roman" w:hAnsi="Times New Roman" w:cs="Times New Roman"/>
          <w:sz w:val="24"/>
          <w:szCs w:val="24"/>
        </w:rPr>
        <w:t xml:space="preserve">  </w:t>
      </w:r>
    </w:p>
    <w:p w:rsidR="0007149E" w:rsidRPr="009C6C3C" w:rsidRDefault="0007149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Indeed, the majority repeatedly used the phrase “legally enforceable” or some variation on the phrase.  The dissent openly acknowledged the majority’s “legally enforceable right” holding, arguing at some length that Congress, in using the word “right,” did not devote sufficient “care in the articulation” to warrant a literal construction.</w:t>
      </w:r>
      <w:r w:rsidR="00C45DB4" w:rsidRPr="009C6C3C">
        <w:rPr>
          <w:rStyle w:val="FootnoteReference"/>
          <w:rFonts w:ascii="Times New Roman" w:hAnsi="Times New Roman" w:cs="Times New Roman"/>
          <w:sz w:val="24"/>
          <w:szCs w:val="24"/>
        </w:rPr>
        <w:footnoteReference w:id="48"/>
      </w:r>
      <w:r w:rsidRPr="009C6C3C">
        <w:rPr>
          <w:rFonts w:ascii="Times New Roman" w:hAnsi="Times New Roman" w:cs="Times New Roman"/>
          <w:sz w:val="24"/>
          <w:szCs w:val="24"/>
        </w:rPr>
        <w:t xml:space="preserve"> Thus, although the dissent obviously did not agree with the majority’s holding, it is nonetheless clear that all nine </w:t>
      </w:r>
      <w:r w:rsidR="00762540" w:rsidRPr="009C6C3C">
        <w:rPr>
          <w:rFonts w:ascii="Times New Roman" w:hAnsi="Times New Roman" w:cs="Times New Roman"/>
          <w:sz w:val="24"/>
          <w:szCs w:val="24"/>
        </w:rPr>
        <w:t>Justices</w:t>
      </w:r>
      <w:r w:rsidRPr="009C6C3C">
        <w:rPr>
          <w:rFonts w:ascii="Times New Roman" w:hAnsi="Times New Roman" w:cs="Times New Roman"/>
          <w:sz w:val="24"/>
          <w:szCs w:val="24"/>
        </w:rPr>
        <w:t xml:space="preserve"> understood that, under the majority approach, estate-tax inclusion under section 2036(a)(2) required a legally enforceable right.  In short, to read the majority as contemplating a focus on raw or </w:t>
      </w:r>
      <w:r w:rsidRPr="009C6C3C">
        <w:rPr>
          <w:rFonts w:ascii="Times New Roman" w:hAnsi="Times New Roman" w:cs="Times New Roman"/>
          <w:i/>
          <w:sz w:val="24"/>
          <w:szCs w:val="24"/>
        </w:rPr>
        <w:t>de facto</w:t>
      </w:r>
      <w:r w:rsidRPr="009C6C3C">
        <w:rPr>
          <w:rFonts w:ascii="Times New Roman" w:hAnsi="Times New Roman" w:cs="Times New Roman"/>
          <w:sz w:val="24"/>
          <w:szCs w:val="24"/>
        </w:rPr>
        <w:t xml:space="preserve"> power, rather than legal enforceability, would be nothing short of conflating the majority opinion with the dissent.</w:t>
      </w:r>
    </w:p>
    <w:p w:rsidR="0007149E" w:rsidRPr="009C6C3C" w:rsidRDefault="0007149E" w:rsidP="0055738E">
      <w:pPr>
        <w:autoSpaceDE w:val="0"/>
        <w:autoSpaceDN w:val="0"/>
        <w:adjustRightInd w:val="0"/>
        <w:spacing w:after="0" w:line="240" w:lineRule="auto"/>
        <w:rPr>
          <w:rFonts w:ascii="Times New Roman" w:hAnsi="Times New Roman" w:cs="Times New Roman"/>
          <w:sz w:val="24"/>
          <w:szCs w:val="24"/>
        </w:rPr>
      </w:pPr>
    </w:p>
    <w:p w:rsidR="0007149E" w:rsidRPr="0080000C" w:rsidRDefault="0007149E" w:rsidP="004232F5">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80000C">
        <w:rPr>
          <w:rFonts w:ascii="Times New Roman" w:hAnsi="Times New Roman" w:cs="Times New Roman"/>
          <w:sz w:val="24"/>
          <w:szCs w:val="24"/>
        </w:rPr>
        <w:t>Rules v</w:t>
      </w:r>
      <w:r w:rsidR="00646FDB" w:rsidRPr="0080000C">
        <w:rPr>
          <w:rFonts w:ascii="Times New Roman" w:hAnsi="Times New Roman" w:cs="Times New Roman"/>
          <w:sz w:val="24"/>
          <w:szCs w:val="24"/>
        </w:rPr>
        <w:t>ersus</w:t>
      </w:r>
      <w:r w:rsidRPr="0080000C">
        <w:rPr>
          <w:rFonts w:ascii="Times New Roman" w:hAnsi="Times New Roman" w:cs="Times New Roman"/>
          <w:sz w:val="24"/>
          <w:szCs w:val="24"/>
        </w:rPr>
        <w:t xml:space="preserve"> Standards</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A second aspect of the majority-dissent divide – which also supports the “legally enforceable right” reading – stems from the jurisprudential distinction between rules and standards.</w:t>
      </w:r>
      <w:r w:rsidR="00C45DB4" w:rsidRPr="009C6C3C">
        <w:rPr>
          <w:rStyle w:val="FootnoteReference"/>
          <w:rFonts w:ascii="Times New Roman" w:hAnsi="Times New Roman" w:cs="Times New Roman"/>
          <w:sz w:val="24"/>
          <w:szCs w:val="24"/>
        </w:rPr>
        <w:footnoteReference w:id="49"/>
      </w:r>
      <w:r w:rsidRPr="009C6C3C">
        <w:rPr>
          <w:rFonts w:ascii="Times New Roman" w:hAnsi="Times New Roman" w:cs="Times New Roman"/>
          <w:sz w:val="24"/>
          <w:szCs w:val="24"/>
        </w:rPr>
        <w:t xml:space="preserve">  According to the </w:t>
      </w:r>
      <w:r w:rsidRPr="009C6C3C">
        <w:rPr>
          <w:rFonts w:ascii="Times New Roman" w:hAnsi="Times New Roman" w:cs="Times New Roman"/>
          <w:i/>
          <w:sz w:val="24"/>
          <w:szCs w:val="24"/>
        </w:rPr>
        <w:t>Byrum</w:t>
      </w:r>
      <w:r w:rsidRPr="009C6C3C">
        <w:rPr>
          <w:rFonts w:ascii="Times New Roman" w:hAnsi="Times New Roman" w:cs="Times New Roman"/>
          <w:sz w:val="24"/>
          <w:szCs w:val="24"/>
        </w:rPr>
        <w:t xml:space="preserve"> majority, the dissent’s raw-power approach entailed the creation of a standard, rather than a rule.</w:t>
      </w:r>
      <w:r w:rsidR="00531D21" w:rsidRPr="009C6C3C">
        <w:rPr>
          <w:rStyle w:val="FootnoteReference"/>
          <w:rFonts w:ascii="Times New Roman" w:hAnsi="Times New Roman" w:cs="Times New Roman"/>
          <w:sz w:val="24"/>
          <w:szCs w:val="24"/>
        </w:rPr>
        <w:footnoteReference w:id="50"/>
      </w:r>
      <w:r w:rsidRPr="009C6C3C">
        <w:rPr>
          <w:rFonts w:ascii="Times New Roman" w:hAnsi="Times New Roman" w:cs="Times New Roman"/>
          <w:sz w:val="24"/>
          <w:szCs w:val="24"/>
        </w:rPr>
        <w:t xml:space="preserve"> The majority was of the view that a standard would create uncertainty, permitting courts to decide on a case-by-case basis the facts that should be given determinative consideration.</w:t>
      </w:r>
      <w:r w:rsidR="00B96CEF" w:rsidRPr="009C6C3C">
        <w:rPr>
          <w:rStyle w:val="FootnoteReference"/>
          <w:rFonts w:ascii="Times New Roman" w:hAnsi="Times New Roman" w:cs="Times New Roman"/>
          <w:sz w:val="24"/>
          <w:szCs w:val="24"/>
        </w:rPr>
        <w:footnoteReference w:id="51"/>
      </w:r>
      <w:r w:rsidRPr="009C6C3C">
        <w:rPr>
          <w:rFonts w:ascii="Times New Roman" w:hAnsi="Times New Roman" w:cs="Times New Roman"/>
          <w:sz w:val="24"/>
          <w:szCs w:val="24"/>
        </w:rPr>
        <w:t xml:space="preserve">  A rule, in contrast, would enable taxpayers to engage in planning their transactions without fear of having a court pull the proverbial rug out from under them.  Other aspects of the majority opinion further support the conclusion that the majority was sensitive to the plight of taxpayers and their need for reliance.</w:t>
      </w:r>
      <w:r w:rsidR="00B96CEF" w:rsidRPr="009C6C3C">
        <w:rPr>
          <w:rStyle w:val="FootnoteReference"/>
          <w:rFonts w:ascii="Times New Roman" w:hAnsi="Times New Roman" w:cs="Times New Roman"/>
          <w:sz w:val="24"/>
          <w:szCs w:val="24"/>
        </w:rPr>
        <w:footnoteReference w:id="52"/>
      </w:r>
      <w:r w:rsidRPr="009C6C3C">
        <w:rPr>
          <w:rFonts w:ascii="Times New Roman" w:hAnsi="Times New Roman" w:cs="Times New Roman"/>
          <w:sz w:val="24"/>
          <w:szCs w:val="24"/>
        </w:rPr>
        <w:t xml:space="preserve">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9E7611"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This is not, however, to suggest that the majority was correct </w:t>
      </w:r>
      <w:r w:rsidR="00B96CEF" w:rsidRPr="009C6C3C">
        <w:rPr>
          <w:rFonts w:ascii="Times New Roman" w:hAnsi="Times New Roman" w:cs="Times New Roman"/>
          <w:sz w:val="24"/>
          <w:szCs w:val="24"/>
        </w:rPr>
        <w:t xml:space="preserve">as a policy matter </w:t>
      </w:r>
      <w:r w:rsidRPr="009C6C3C">
        <w:rPr>
          <w:rFonts w:ascii="Times New Roman" w:hAnsi="Times New Roman" w:cs="Times New Roman"/>
          <w:sz w:val="24"/>
          <w:szCs w:val="24"/>
        </w:rPr>
        <w:t>or that rules are universally preferable to standards. The application of a standard can produce salutary outcomes.  For example, a standard might enable a court to close down an abusive transaction that would otherwise escape a rule</w:t>
      </w:r>
      <w:r w:rsidR="00B96CEF" w:rsidRPr="009C6C3C">
        <w:rPr>
          <w:rStyle w:val="FootnoteReference"/>
          <w:rFonts w:ascii="Times New Roman" w:hAnsi="Times New Roman" w:cs="Times New Roman"/>
          <w:sz w:val="24"/>
          <w:szCs w:val="24"/>
        </w:rPr>
        <w:footnoteReference w:id="53"/>
      </w:r>
      <w:r w:rsidRPr="009C6C3C">
        <w:rPr>
          <w:rFonts w:ascii="Times New Roman" w:hAnsi="Times New Roman" w:cs="Times New Roman"/>
          <w:sz w:val="24"/>
          <w:szCs w:val="24"/>
        </w:rPr>
        <w:t xml:space="preserve"> – which explains the dissent’s preference for the use of a standard.  But the majority</w:t>
      </w:r>
      <w:r w:rsidR="009E7611" w:rsidRPr="009C6C3C">
        <w:rPr>
          <w:rFonts w:ascii="Times New Roman" w:hAnsi="Times New Roman" w:cs="Times New Roman"/>
          <w:sz w:val="24"/>
          <w:szCs w:val="24"/>
        </w:rPr>
        <w:t xml:space="preserve"> traded off abuse for certainty – i.e., accepted the possibility that abusive cases might escape from section 2036 in return for a clear rule on which taxpayer could rely. </w:t>
      </w:r>
      <w:r w:rsidRPr="009C6C3C">
        <w:rPr>
          <w:rFonts w:ascii="Times New Roman" w:hAnsi="Times New Roman" w:cs="Times New Roman"/>
          <w:sz w:val="24"/>
          <w:szCs w:val="24"/>
        </w:rPr>
        <w:t xml:space="preserve"> Whatever one may think about </w:t>
      </w:r>
      <w:r w:rsidR="009E7611" w:rsidRPr="009C6C3C">
        <w:rPr>
          <w:rFonts w:ascii="Times New Roman" w:hAnsi="Times New Roman" w:cs="Times New Roman"/>
          <w:sz w:val="24"/>
          <w:szCs w:val="24"/>
        </w:rPr>
        <w:t>this tradeoff</w:t>
      </w:r>
      <w:r w:rsidRPr="009C6C3C">
        <w:rPr>
          <w:rFonts w:ascii="Times New Roman" w:hAnsi="Times New Roman" w:cs="Times New Roman"/>
          <w:sz w:val="24"/>
          <w:szCs w:val="24"/>
        </w:rPr>
        <w:t xml:space="preserve"> in the abstract – and different judges will certainly hold different views depending on the context – it is difficult to deny that the </w:t>
      </w:r>
      <w:r w:rsidRPr="009C6C3C">
        <w:rPr>
          <w:rFonts w:ascii="Times New Roman" w:hAnsi="Times New Roman" w:cs="Times New Roman"/>
          <w:i/>
          <w:sz w:val="24"/>
          <w:szCs w:val="24"/>
        </w:rPr>
        <w:t>Byrum</w:t>
      </w:r>
      <w:r w:rsidRPr="009C6C3C">
        <w:rPr>
          <w:rFonts w:ascii="Times New Roman" w:hAnsi="Times New Roman" w:cs="Times New Roman"/>
          <w:sz w:val="24"/>
          <w:szCs w:val="24"/>
        </w:rPr>
        <w:t xml:space="preserve"> dissent would have preferred to implement section 2036(a)(2) as a standard and that the majority emphatically rejected this in favor of a legal-enforceability rule.</w:t>
      </w:r>
      <w:r w:rsidR="009E7611" w:rsidRPr="009C6C3C">
        <w:rPr>
          <w:rStyle w:val="FootnoteReference"/>
          <w:rFonts w:ascii="Times New Roman" w:hAnsi="Times New Roman" w:cs="Times New Roman"/>
          <w:sz w:val="24"/>
          <w:szCs w:val="24"/>
        </w:rPr>
        <w:footnoteReference w:id="54"/>
      </w:r>
      <w:r w:rsidRPr="009C6C3C">
        <w:rPr>
          <w:rFonts w:ascii="Times New Roman" w:hAnsi="Times New Roman" w:cs="Times New Roman"/>
          <w:sz w:val="24"/>
          <w:szCs w:val="24"/>
        </w:rPr>
        <w:t xml:space="preserve"> </w:t>
      </w:r>
    </w:p>
    <w:p w:rsidR="009E7611" w:rsidRPr="009C6C3C" w:rsidRDefault="009E7611"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Without discussing or mentioning the </w:t>
      </w:r>
      <w:r w:rsidRPr="009C6C3C">
        <w:rPr>
          <w:rFonts w:ascii="Times New Roman" w:hAnsi="Times New Roman" w:cs="Times New Roman"/>
          <w:i/>
          <w:sz w:val="24"/>
          <w:szCs w:val="24"/>
        </w:rPr>
        <w:t>Byrum</w:t>
      </w:r>
      <w:r w:rsidRPr="009C6C3C">
        <w:rPr>
          <w:rFonts w:ascii="Times New Roman" w:hAnsi="Times New Roman" w:cs="Times New Roman"/>
          <w:sz w:val="24"/>
          <w:szCs w:val="24"/>
        </w:rPr>
        <w:t xml:space="preserve"> majority’s characterization of the dissent’s approach as a standard and its concern that it would be “so vague and amorphous as to be impossible of ascertainment in many instances,” the </w:t>
      </w:r>
      <w:r w:rsidRPr="009C6C3C">
        <w:rPr>
          <w:rFonts w:ascii="Times New Roman" w:hAnsi="Times New Roman" w:cs="Times New Roman"/>
          <w:i/>
          <w:sz w:val="24"/>
          <w:szCs w:val="24"/>
        </w:rPr>
        <w:t>Powell</w:t>
      </w:r>
      <w:r w:rsidRPr="009C6C3C">
        <w:rPr>
          <w:rFonts w:ascii="Times New Roman" w:hAnsi="Times New Roman" w:cs="Times New Roman"/>
          <w:sz w:val="24"/>
          <w:szCs w:val="24"/>
        </w:rPr>
        <w:t xml:space="preserve"> court simply says that “</w:t>
      </w:r>
      <w:r w:rsidRPr="009C6C3C">
        <w:rPr>
          <w:rFonts w:ascii="Times New Roman" w:hAnsi="Times New Roman" w:cs="Times New Roman"/>
          <w:i/>
          <w:sz w:val="24"/>
          <w:szCs w:val="24"/>
        </w:rPr>
        <w:t>Byrum</w:t>
      </w:r>
      <w:r w:rsidRPr="009C6C3C">
        <w:rPr>
          <w:rFonts w:ascii="Times New Roman" w:hAnsi="Times New Roman" w:cs="Times New Roman"/>
          <w:sz w:val="24"/>
          <w:szCs w:val="24"/>
        </w:rPr>
        <w:t xml:space="preserve"> need not be read as having established a </w:t>
      </w:r>
      <w:r w:rsidR="006D4A7E">
        <w:rPr>
          <w:rFonts w:ascii="Times New Roman" w:hAnsi="Times New Roman" w:cs="Times New Roman"/>
          <w:sz w:val="24"/>
          <w:szCs w:val="24"/>
        </w:rPr>
        <w:t>‘</w:t>
      </w:r>
      <w:r w:rsidRPr="009C6C3C">
        <w:rPr>
          <w:rFonts w:ascii="Times New Roman" w:hAnsi="Times New Roman" w:cs="Times New Roman"/>
          <w:sz w:val="24"/>
          <w:szCs w:val="24"/>
        </w:rPr>
        <w:t>bright-line test.</w:t>
      </w:r>
      <w:r w:rsidR="006D4A7E">
        <w:rPr>
          <w:rFonts w:ascii="Times New Roman" w:hAnsi="Times New Roman" w:cs="Times New Roman"/>
          <w:sz w:val="24"/>
          <w:szCs w:val="24"/>
        </w:rPr>
        <w:t>’</w:t>
      </w:r>
      <w:r w:rsidRPr="009C6C3C">
        <w:rPr>
          <w:rFonts w:ascii="Times New Roman" w:hAnsi="Times New Roman" w:cs="Times New Roman"/>
          <w:sz w:val="24"/>
          <w:szCs w:val="24"/>
        </w:rPr>
        <w:t>”</w:t>
      </w:r>
      <w:r w:rsidR="00CB6714" w:rsidRPr="009C6C3C">
        <w:rPr>
          <w:rStyle w:val="FootnoteReference"/>
          <w:rFonts w:ascii="Times New Roman" w:hAnsi="Times New Roman" w:cs="Times New Roman"/>
          <w:sz w:val="24"/>
          <w:szCs w:val="24"/>
        </w:rPr>
        <w:footnoteReference w:id="55"/>
      </w:r>
      <w:r w:rsidRPr="009C6C3C">
        <w:rPr>
          <w:rFonts w:ascii="Times New Roman" w:hAnsi="Times New Roman" w:cs="Times New Roman"/>
          <w:sz w:val="24"/>
          <w:szCs w:val="24"/>
        </w:rPr>
        <w:t xml:space="preserve">  Although the majority, as well as the dissent, in </w:t>
      </w:r>
      <w:r w:rsidRPr="009C6C3C">
        <w:rPr>
          <w:rFonts w:ascii="Times New Roman" w:hAnsi="Times New Roman" w:cs="Times New Roman"/>
          <w:i/>
          <w:sz w:val="24"/>
          <w:szCs w:val="24"/>
        </w:rPr>
        <w:t>Byrum</w:t>
      </w:r>
      <w:r w:rsidRPr="009C6C3C">
        <w:rPr>
          <w:rFonts w:ascii="Times New Roman" w:hAnsi="Times New Roman" w:cs="Times New Roman"/>
          <w:sz w:val="24"/>
          <w:szCs w:val="24"/>
        </w:rPr>
        <w:t xml:space="preserve"> repeatedly references the majority’s “legally enforceable right” approach, the </w:t>
      </w:r>
      <w:r w:rsidRPr="009C6C3C">
        <w:rPr>
          <w:rFonts w:ascii="Times New Roman" w:hAnsi="Times New Roman" w:cs="Times New Roman"/>
          <w:i/>
          <w:sz w:val="24"/>
          <w:szCs w:val="24"/>
        </w:rPr>
        <w:t>Powell</w:t>
      </w:r>
      <w:r w:rsidRPr="009C6C3C">
        <w:rPr>
          <w:rFonts w:ascii="Times New Roman" w:hAnsi="Times New Roman" w:cs="Times New Roman"/>
          <w:sz w:val="24"/>
          <w:szCs w:val="24"/>
        </w:rPr>
        <w:t xml:space="preserve"> court never once mentions this phrase.</w:t>
      </w:r>
      <w:r w:rsidR="00471281" w:rsidRPr="009C6C3C">
        <w:rPr>
          <w:rStyle w:val="FootnoteReference"/>
          <w:rFonts w:ascii="Times New Roman" w:hAnsi="Times New Roman" w:cs="Times New Roman"/>
          <w:sz w:val="24"/>
          <w:szCs w:val="24"/>
        </w:rPr>
        <w:footnoteReference w:id="56"/>
      </w:r>
      <w:r w:rsidRPr="009C6C3C">
        <w:rPr>
          <w:rFonts w:ascii="Times New Roman" w:hAnsi="Times New Roman" w:cs="Times New Roman"/>
          <w:sz w:val="24"/>
          <w:szCs w:val="24"/>
        </w:rPr>
        <w:t xml:space="preserve">  Instead, it twice uses the word “illusory” in the course of deciding whether there were sufficient fiduciary-duty constraints to negate inclusion.</w:t>
      </w:r>
      <w:r w:rsidR="004F28EF" w:rsidRPr="009C6C3C">
        <w:rPr>
          <w:rStyle w:val="FootnoteReference"/>
          <w:rFonts w:ascii="Times New Roman" w:hAnsi="Times New Roman" w:cs="Times New Roman"/>
          <w:sz w:val="24"/>
          <w:szCs w:val="24"/>
        </w:rPr>
        <w:footnoteReference w:id="57"/>
      </w:r>
      <w:r w:rsidRPr="009C6C3C">
        <w:rPr>
          <w:rFonts w:ascii="Times New Roman" w:hAnsi="Times New Roman" w:cs="Times New Roman"/>
          <w:sz w:val="24"/>
          <w:szCs w:val="24"/>
        </w:rPr>
        <w:t xml:space="preserve">  The </w:t>
      </w:r>
      <w:r w:rsidRPr="009C6C3C">
        <w:rPr>
          <w:rFonts w:ascii="Times New Roman" w:hAnsi="Times New Roman" w:cs="Times New Roman"/>
          <w:i/>
          <w:sz w:val="24"/>
          <w:szCs w:val="24"/>
        </w:rPr>
        <w:t>Powell</w:t>
      </w:r>
      <w:r w:rsidRPr="009C6C3C">
        <w:rPr>
          <w:rFonts w:ascii="Times New Roman" w:hAnsi="Times New Roman" w:cs="Times New Roman"/>
          <w:sz w:val="24"/>
          <w:szCs w:val="24"/>
        </w:rPr>
        <w:t xml:space="preserve"> court has thus unwittingly converted the bright-line test adopted by the </w:t>
      </w:r>
      <w:r w:rsidRPr="009C6C3C">
        <w:rPr>
          <w:rFonts w:ascii="Times New Roman" w:hAnsi="Times New Roman" w:cs="Times New Roman"/>
          <w:i/>
          <w:sz w:val="24"/>
          <w:szCs w:val="24"/>
        </w:rPr>
        <w:t>Byrum</w:t>
      </w:r>
      <w:r w:rsidRPr="009C6C3C">
        <w:rPr>
          <w:rFonts w:ascii="Times New Roman" w:hAnsi="Times New Roman" w:cs="Times New Roman"/>
          <w:sz w:val="24"/>
          <w:szCs w:val="24"/>
        </w:rPr>
        <w:t xml:space="preserve"> majority into a standard that will turn on whether a constraint on the decedent’s right is found to be illusory.</w:t>
      </w:r>
      <w:r w:rsidR="00CB6714" w:rsidRPr="009C6C3C">
        <w:rPr>
          <w:rStyle w:val="FootnoteReference"/>
          <w:rFonts w:ascii="Times New Roman" w:hAnsi="Times New Roman" w:cs="Times New Roman"/>
          <w:sz w:val="24"/>
          <w:szCs w:val="24"/>
        </w:rPr>
        <w:footnoteReference w:id="58"/>
      </w:r>
      <w:r w:rsidRPr="009C6C3C">
        <w:rPr>
          <w:rFonts w:ascii="Times New Roman" w:hAnsi="Times New Roman" w:cs="Times New Roman"/>
          <w:sz w:val="24"/>
          <w:szCs w:val="24"/>
        </w:rPr>
        <w:t xml:space="preserve"> </w:t>
      </w:r>
    </w:p>
    <w:p w:rsidR="00174E5A" w:rsidRPr="009C6C3C" w:rsidRDefault="00174E5A"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In </w:t>
      </w:r>
      <w:r w:rsidRPr="009C6C3C">
        <w:rPr>
          <w:rFonts w:ascii="Times New Roman" w:hAnsi="Times New Roman" w:cs="Times New Roman"/>
          <w:i/>
          <w:sz w:val="24"/>
          <w:szCs w:val="24"/>
        </w:rPr>
        <w:t>Powell</w:t>
      </w:r>
      <w:r w:rsidRPr="009C6C3C">
        <w:rPr>
          <w:rFonts w:ascii="Times New Roman" w:hAnsi="Times New Roman" w:cs="Times New Roman"/>
          <w:sz w:val="24"/>
          <w:szCs w:val="24"/>
        </w:rPr>
        <w:t xml:space="preserve">, the court determined that there were two grounds on which application of section 2036(a)(2) could be predicated.  One of the grounds related to the general partner’s discretion concerning the timing and amount of partnership distributions.  Although the decedent’s son was the general partner and not the decedent, the court nonetheless in effect attributed the general partner’s discretion to the decedent based on the fact that the son was also the decedent’s </w:t>
      </w:r>
      <w:r w:rsidR="009B23B3" w:rsidRPr="009C6C3C">
        <w:rPr>
          <w:rFonts w:ascii="Times New Roman" w:hAnsi="Times New Roman" w:cs="Times New Roman"/>
          <w:sz w:val="24"/>
          <w:szCs w:val="24"/>
        </w:rPr>
        <w:t>attorney in fact</w:t>
      </w:r>
      <w:r w:rsidRPr="009C6C3C">
        <w:rPr>
          <w:rFonts w:ascii="Times New Roman" w:hAnsi="Times New Roman" w:cs="Times New Roman"/>
          <w:sz w:val="24"/>
          <w:szCs w:val="24"/>
        </w:rPr>
        <w:t xml:space="preserve"> under a power of attorney.  As the court indicates, the facts relating to the power of attorney were also present in </w:t>
      </w:r>
      <w:r w:rsidRPr="009C6C3C">
        <w:rPr>
          <w:rFonts w:ascii="Times New Roman" w:hAnsi="Times New Roman" w:cs="Times New Roman"/>
          <w:i/>
          <w:sz w:val="24"/>
          <w:szCs w:val="24"/>
        </w:rPr>
        <w:t xml:space="preserve">Strangi </w:t>
      </w:r>
      <w:r w:rsidRPr="009C6C3C">
        <w:rPr>
          <w:rFonts w:ascii="Times New Roman" w:hAnsi="Times New Roman" w:cs="Times New Roman"/>
          <w:sz w:val="24"/>
          <w:szCs w:val="24"/>
        </w:rPr>
        <w:t>and led the court to apply section 2036(a)(2).</w:t>
      </w:r>
      <w:r w:rsidR="0037332A" w:rsidRPr="009C6C3C">
        <w:rPr>
          <w:rStyle w:val="FootnoteReference"/>
          <w:rFonts w:ascii="Times New Roman" w:hAnsi="Times New Roman" w:cs="Times New Roman"/>
          <w:sz w:val="24"/>
          <w:szCs w:val="24"/>
        </w:rPr>
        <w:footnoteReference w:id="59"/>
      </w:r>
      <w:r w:rsidRPr="009C6C3C">
        <w:rPr>
          <w:rFonts w:ascii="Times New Roman" w:hAnsi="Times New Roman" w:cs="Times New Roman"/>
          <w:sz w:val="24"/>
          <w:szCs w:val="24"/>
        </w:rPr>
        <w:t xml:space="preserve">  Thus, applying </w:t>
      </w:r>
      <w:r w:rsidRPr="009C6C3C">
        <w:rPr>
          <w:rFonts w:ascii="Times New Roman" w:hAnsi="Times New Roman" w:cs="Times New Roman"/>
          <w:i/>
          <w:sz w:val="24"/>
          <w:szCs w:val="24"/>
        </w:rPr>
        <w:t>Strangi</w:t>
      </w:r>
      <w:r w:rsidRPr="009C6C3C">
        <w:rPr>
          <w:rFonts w:ascii="Times New Roman" w:hAnsi="Times New Roman" w:cs="Times New Roman"/>
          <w:sz w:val="24"/>
          <w:szCs w:val="24"/>
        </w:rPr>
        <w:t xml:space="preserve">, the court concluded that inclusion was appropriate on this basis.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Two premises would appear to underlie the court’s analysis of the power of attorney: 1) that it is appropriate to attribute to the decedent the powers held by the son as a general partner; and 2) that any fiduciary duty that the decedent would have owed to his son in the exercise of these attributed powers is to be ignored.  Both of these premises may be difficult, however, to square with </w:t>
      </w:r>
      <w:r w:rsidRPr="009C6C3C">
        <w:rPr>
          <w:rFonts w:ascii="Times New Roman" w:hAnsi="Times New Roman" w:cs="Times New Roman"/>
          <w:i/>
          <w:sz w:val="24"/>
          <w:szCs w:val="24"/>
        </w:rPr>
        <w:t>Byrum</w:t>
      </w:r>
      <w:r w:rsidRPr="009C6C3C">
        <w:rPr>
          <w:rFonts w:ascii="Times New Roman" w:hAnsi="Times New Roman" w:cs="Times New Roman"/>
          <w:sz w:val="24"/>
          <w:szCs w:val="24"/>
        </w:rPr>
        <w:t xml:space="preserve">.  Unless, under state law, the powers held by the son as general partner must be attributed to the decedent by reason of the power of attorney, the son’s powers did not give the decedent a legally enforceable right.  Similarly, unless, under state law, the son’s ability to enforce his rights as a partner were somehow eliminated by reason of the power of attorney, the decedent, again, did not have a legally enforceable right.  But the court does not supply a careful analysis of these two issues under state law.  Instead, the court finds that any constraints on the decedent were “illusory” as a matter of federal law and must therefore be disregarded in making the </w:t>
      </w:r>
      <w:r w:rsidRPr="009C6C3C">
        <w:rPr>
          <w:rFonts w:ascii="Times New Roman" w:hAnsi="Times New Roman" w:cs="Times New Roman"/>
          <w:i/>
          <w:sz w:val="24"/>
          <w:szCs w:val="24"/>
        </w:rPr>
        <w:t>Byrum</w:t>
      </w:r>
      <w:r w:rsidRPr="009C6C3C">
        <w:rPr>
          <w:rFonts w:ascii="Times New Roman" w:hAnsi="Times New Roman" w:cs="Times New Roman"/>
          <w:sz w:val="24"/>
          <w:szCs w:val="24"/>
        </w:rPr>
        <w:t xml:space="preserve"> analysis.</w:t>
      </w:r>
      <w:r w:rsidR="0037332A" w:rsidRPr="009C6C3C">
        <w:rPr>
          <w:rStyle w:val="FootnoteReference"/>
          <w:rFonts w:ascii="Times New Roman" w:hAnsi="Times New Roman" w:cs="Times New Roman"/>
          <w:sz w:val="24"/>
          <w:szCs w:val="24"/>
        </w:rPr>
        <w:footnoteReference w:id="60"/>
      </w:r>
      <w:r w:rsidRPr="009C6C3C">
        <w:rPr>
          <w:rFonts w:ascii="Times New Roman" w:hAnsi="Times New Roman" w:cs="Times New Roman"/>
          <w:sz w:val="24"/>
          <w:szCs w:val="24"/>
        </w:rPr>
        <w:t xml:space="preserve">  In effect, the question became, not whether the decedent had a legally enforceable right, but rather whether the more amorphous standard favored by the </w:t>
      </w:r>
      <w:r w:rsidRPr="009C6C3C">
        <w:rPr>
          <w:rFonts w:ascii="Times New Roman" w:hAnsi="Times New Roman" w:cs="Times New Roman"/>
          <w:i/>
          <w:sz w:val="24"/>
          <w:szCs w:val="24"/>
        </w:rPr>
        <w:t>Byrum</w:t>
      </w:r>
      <w:r w:rsidRPr="009C6C3C">
        <w:rPr>
          <w:rFonts w:ascii="Times New Roman" w:hAnsi="Times New Roman" w:cs="Times New Roman"/>
          <w:sz w:val="24"/>
          <w:szCs w:val="24"/>
        </w:rPr>
        <w:t xml:space="preserve"> dissent was satisfied. </w:t>
      </w:r>
    </w:p>
    <w:p w:rsidR="00646FDB" w:rsidRPr="009C6C3C" w:rsidRDefault="00646FDB" w:rsidP="0055738E">
      <w:pPr>
        <w:autoSpaceDE w:val="0"/>
        <w:autoSpaceDN w:val="0"/>
        <w:adjustRightInd w:val="0"/>
        <w:spacing w:after="0" w:line="240" w:lineRule="auto"/>
        <w:rPr>
          <w:rFonts w:ascii="Times New Roman" w:hAnsi="Times New Roman" w:cs="Times New Roman"/>
          <w:sz w:val="24"/>
          <w:szCs w:val="24"/>
        </w:rPr>
      </w:pPr>
    </w:p>
    <w:p w:rsidR="00646FDB" w:rsidRPr="0014645B" w:rsidRDefault="00646FDB" w:rsidP="004232F5">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14645B">
        <w:rPr>
          <w:rFonts w:ascii="Times New Roman" w:hAnsi="Times New Roman" w:cs="Times New Roman"/>
          <w:sz w:val="24"/>
          <w:szCs w:val="24"/>
        </w:rPr>
        <w:t>Right t</w:t>
      </w:r>
      <w:r w:rsidR="00BD245E" w:rsidRPr="0014645B">
        <w:rPr>
          <w:rFonts w:ascii="Times New Roman" w:hAnsi="Times New Roman" w:cs="Times New Roman"/>
          <w:sz w:val="24"/>
          <w:szCs w:val="24"/>
        </w:rPr>
        <w:t xml:space="preserve">o Vote on Dissolution: </w:t>
      </w:r>
      <w:r w:rsidR="00BD245E" w:rsidRPr="0014645B">
        <w:rPr>
          <w:rFonts w:ascii="Times New Roman" w:hAnsi="Times New Roman" w:cs="Times New Roman"/>
          <w:i/>
          <w:sz w:val="24"/>
          <w:szCs w:val="24"/>
        </w:rPr>
        <w:t>Powell</w:t>
      </w:r>
      <w:r w:rsidR="00BD245E" w:rsidRPr="0014645B">
        <w:rPr>
          <w:rFonts w:ascii="Times New Roman" w:hAnsi="Times New Roman" w:cs="Times New Roman"/>
          <w:sz w:val="24"/>
          <w:szCs w:val="24"/>
        </w:rPr>
        <w:t xml:space="preserve"> versus</w:t>
      </w:r>
      <w:r w:rsidRPr="0014645B">
        <w:rPr>
          <w:rFonts w:ascii="Times New Roman" w:hAnsi="Times New Roman" w:cs="Times New Roman"/>
          <w:sz w:val="24"/>
          <w:szCs w:val="24"/>
        </w:rPr>
        <w:t xml:space="preserve"> </w:t>
      </w:r>
      <w:r w:rsidRPr="0014645B">
        <w:rPr>
          <w:rFonts w:ascii="Times New Roman" w:hAnsi="Times New Roman" w:cs="Times New Roman"/>
          <w:i/>
          <w:sz w:val="24"/>
          <w:szCs w:val="24"/>
        </w:rPr>
        <w:t>Byrum</w:t>
      </w:r>
    </w:p>
    <w:p w:rsidR="007A1B0A" w:rsidRPr="009C6C3C" w:rsidRDefault="007A1B0A"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The second ground on which </w:t>
      </w:r>
      <w:r w:rsidRPr="009C6C3C">
        <w:rPr>
          <w:rFonts w:ascii="Times New Roman" w:hAnsi="Times New Roman" w:cs="Times New Roman"/>
          <w:i/>
          <w:sz w:val="24"/>
          <w:szCs w:val="24"/>
        </w:rPr>
        <w:t>Powell</w:t>
      </w:r>
      <w:r w:rsidRPr="009C6C3C">
        <w:rPr>
          <w:rFonts w:ascii="Times New Roman" w:hAnsi="Times New Roman" w:cs="Times New Roman"/>
          <w:sz w:val="24"/>
          <w:szCs w:val="24"/>
        </w:rPr>
        <w:t xml:space="preserve"> relied in invoking section 2036(a)(2) was the provision in the partnership agreement that permitted the decedent, as a limited partner, to effect a dissolution of the partnership with the consent of the other partner.</w:t>
      </w:r>
      <w:r w:rsidR="0037332A" w:rsidRPr="009C6C3C">
        <w:rPr>
          <w:rStyle w:val="FootnoteReference"/>
          <w:rFonts w:ascii="Times New Roman" w:hAnsi="Times New Roman" w:cs="Times New Roman"/>
          <w:sz w:val="24"/>
          <w:szCs w:val="24"/>
        </w:rPr>
        <w:footnoteReference w:id="61"/>
      </w:r>
      <w:r w:rsidRPr="009C6C3C">
        <w:rPr>
          <w:rFonts w:ascii="Times New Roman" w:hAnsi="Times New Roman" w:cs="Times New Roman"/>
          <w:sz w:val="24"/>
          <w:szCs w:val="24"/>
        </w:rPr>
        <w:t xml:space="preserve">  In </w:t>
      </w:r>
      <w:r w:rsidRPr="009C6C3C">
        <w:rPr>
          <w:rFonts w:ascii="Times New Roman" w:hAnsi="Times New Roman" w:cs="Times New Roman"/>
          <w:i/>
          <w:sz w:val="24"/>
          <w:szCs w:val="24"/>
        </w:rPr>
        <w:t>Strangi</w:t>
      </w:r>
      <w:r w:rsidRPr="009C6C3C">
        <w:rPr>
          <w:rFonts w:ascii="Times New Roman" w:hAnsi="Times New Roman" w:cs="Times New Roman"/>
          <w:sz w:val="24"/>
          <w:szCs w:val="24"/>
        </w:rPr>
        <w:t xml:space="preserve">, the court had engaged in a similar analysis, pointing, as did </w:t>
      </w:r>
      <w:r w:rsidRPr="009C6C3C">
        <w:rPr>
          <w:rFonts w:ascii="Times New Roman" w:hAnsi="Times New Roman" w:cs="Times New Roman"/>
          <w:i/>
          <w:sz w:val="24"/>
          <w:szCs w:val="24"/>
        </w:rPr>
        <w:t>Powell</w:t>
      </w:r>
      <w:r w:rsidRPr="009C6C3C">
        <w:rPr>
          <w:rFonts w:ascii="Times New Roman" w:hAnsi="Times New Roman" w:cs="Times New Roman"/>
          <w:sz w:val="24"/>
          <w:szCs w:val="24"/>
        </w:rPr>
        <w:t>, to the language in the statute making it applicable if the decedent’s right could be exercised alone or in conjunction with others.</w:t>
      </w:r>
      <w:r w:rsidR="007A1B0A" w:rsidRPr="009C6C3C">
        <w:rPr>
          <w:rStyle w:val="FootnoteReference"/>
          <w:rFonts w:ascii="Times New Roman" w:hAnsi="Times New Roman" w:cs="Times New Roman"/>
          <w:sz w:val="24"/>
          <w:szCs w:val="24"/>
        </w:rPr>
        <w:footnoteReference w:id="62"/>
      </w:r>
      <w:r w:rsidRPr="009C6C3C">
        <w:rPr>
          <w:rFonts w:ascii="Times New Roman" w:hAnsi="Times New Roman" w:cs="Times New Roman"/>
          <w:sz w:val="24"/>
          <w:szCs w:val="24"/>
        </w:rPr>
        <w:t xml:space="preserve">  While the </w:t>
      </w:r>
      <w:r w:rsidRPr="009C6C3C">
        <w:rPr>
          <w:rFonts w:ascii="Times New Roman" w:hAnsi="Times New Roman" w:cs="Times New Roman"/>
          <w:i/>
          <w:sz w:val="24"/>
          <w:szCs w:val="24"/>
        </w:rPr>
        <w:t>Powell</w:t>
      </w:r>
      <w:r w:rsidRPr="009C6C3C">
        <w:rPr>
          <w:rFonts w:ascii="Times New Roman" w:hAnsi="Times New Roman" w:cs="Times New Roman"/>
          <w:sz w:val="24"/>
          <w:szCs w:val="24"/>
        </w:rPr>
        <w:t xml:space="preserve"> analysis is similar to the </w:t>
      </w:r>
      <w:r w:rsidRPr="009C6C3C">
        <w:rPr>
          <w:rFonts w:ascii="Times New Roman" w:hAnsi="Times New Roman" w:cs="Times New Roman"/>
          <w:i/>
          <w:sz w:val="24"/>
          <w:szCs w:val="24"/>
        </w:rPr>
        <w:t>Strangi</w:t>
      </w:r>
      <w:r w:rsidRPr="009C6C3C">
        <w:rPr>
          <w:rFonts w:ascii="Times New Roman" w:hAnsi="Times New Roman" w:cs="Times New Roman"/>
          <w:sz w:val="24"/>
          <w:szCs w:val="24"/>
        </w:rPr>
        <w:t xml:space="preserve"> analysis, there may be a subtle difference.  In </w:t>
      </w:r>
      <w:r w:rsidRPr="009C6C3C">
        <w:rPr>
          <w:rFonts w:ascii="Times New Roman" w:hAnsi="Times New Roman" w:cs="Times New Roman"/>
          <w:i/>
          <w:sz w:val="24"/>
          <w:szCs w:val="24"/>
        </w:rPr>
        <w:t>Strangi</w:t>
      </w:r>
      <w:r w:rsidRPr="009C6C3C">
        <w:rPr>
          <w:rFonts w:ascii="Times New Roman" w:hAnsi="Times New Roman" w:cs="Times New Roman"/>
          <w:sz w:val="24"/>
          <w:szCs w:val="24"/>
        </w:rPr>
        <w:t>, the court appeared to contemplate that if the ability to liquidate was constrained by a fiduciary duty, inclusion would not be appropriate.</w:t>
      </w:r>
      <w:r w:rsidR="0037332A" w:rsidRPr="009C6C3C">
        <w:rPr>
          <w:rStyle w:val="FootnoteReference"/>
          <w:rFonts w:ascii="Times New Roman" w:hAnsi="Times New Roman" w:cs="Times New Roman"/>
          <w:sz w:val="24"/>
          <w:szCs w:val="24"/>
        </w:rPr>
        <w:footnoteReference w:id="63"/>
      </w:r>
      <w:r w:rsidRPr="009C6C3C">
        <w:rPr>
          <w:rFonts w:ascii="Times New Roman" w:hAnsi="Times New Roman" w:cs="Times New Roman"/>
          <w:sz w:val="24"/>
          <w:szCs w:val="24"/>
        </w:rPr>
        <w:t xml:space="preserve">  In contrast, in </w:t>
      </w:r>
      <w:r w:rsidRPr="009C6C3C">
        <w:rPr>
          <w:rFonts w:ascii="Times New Roman" w:hAnsi="Times New Roman" w:cs="Times New Roman"/>
          <w:i/>
          <w:sz w:val="24"/>
          <w:szCs w:val="24"/>
        </w:rPr>
        <w:t>Powell</w:t>
      </w:r>
      <w:r w:rsidRPr="009C6C3C">
        <w:rPr>
          <w:rFonts w:ascii="Times New Roman" w:hAnsi="Times New Roman" w:cs="Times New Roman"/>
          <w:sz w:val="24"/>
          <w:szCs w:val="24"/>
        </w:rPr>
        <w:t xml:space="preserve">, although not entirely clear, the court appears to intimate that such ability is a </w:t>
      </w:r>
      <w:r w:rsidRPr="009C6C3C">
        <w:rPr>
          <w:rFonts w:ascii="Times New Roman" w:hAnsi="Times New Roman" w:cs="Times New Roman"/>
          <w:i/>
          <w:iCs/>
          <w:sz w:val="24"/>
          <w:szCs w:val="24"/>
        </w:rPr>
        <w:t>per se</w:t>
      </w:r>
      <w:r w:rsidRPr="009C6C3C">
        <w:rPr>
          <w:rFonts w:ascii="Times New Roman" w:hAnsi="Times New Roman" w:cs="Times New Roman"/>
          <w:sz w:val="24"/>
          <w:szCs w:val="24"/>
        </w:rPr>
        <w:t xml:space="preserve"> ground for inclusion, thus rendering superfluous a fiduciary-duty analysis.</w:t>
      </w:r>
      <w:r w:rsidR="007A1B0A" w:rsidRPr="009C6C3C">
        <w:rPr>
          <w:rStyle w:val="FootnoteReference"/>
          <w:rFonts w:ascii="Times New Roman" w:hAnsi="Times New Roman" w:cs="Times New Roman"/>
          <w:sz w:val="24"/>
          <w:szCs w:val="24"/>
        </w:rPr>
        <w:footnoteReference w:id="64"/>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Perhaps the court assumed that, as a matter of state law, a limited partner does not owe a fiduciary duty to other partners.  Such an assumption may not, however, be </w:t>
      </w:r>
      <w:r w:rsidR="007A1B0A" w:rsidRPr="009C6C3C">
        <w:rPr>
          <w:rFonts w:ascii="Times New Roman" w:hAnsi="Times New Roman" w:cs="Times New Roman"/>
          <w:sz w:val="24"/>
          <w:szCs w:val="24"/>
        </w:rPr>
        <w:t xml:space="preserve">entirely </w:t>
      </w:r>
      <w:r w:rsidRPr="009C6C3C">
        <w:rPr>
          <w:rFonts w:ascii="Times New Roman" w:hAnsi="Times New Roman" w:cs="Times New Roman"/>
          <w:sz w:val="24"/>
          <w:szCs w:val="24"/>
        </w:rPr>
        <w:t>accurate.</w:t>
      </w:r>
      <w:r w:rsidR="007A1B0A" w:rsidRPr="009C6C3C">
        <w:rPr>
          <w:rStyle w:val="FootnoteReference"/>
          <w:rFonts w:ascii="Times New Roman" w:hAnsi="Times New Roman" w:cs="Times New Roman"/>
          <w:sz w:val="24"/>
          <w:szCs w:val="24"/>
        </w:rPr>
        <w:footnoteReference w:id="65"/>
      </w:r>
      <w:r w:rsidRPr="009C6C3C">
        <w:rPr>
          <w:rFonts w:ascii="Times New Roman" w:hAnsi="Times New Roman" w:cs="Times New Roman"/>
          <w:sz w:val="24"/>
          <w:szCs w:val="24"/>
        </w:rPr>
        <w:t xml:space="preserve">  </w:t>
      </w:r>
      <w:r w:rsidR="007A1B0A" w:rsidRPr="009C6C3C">
        <w:rPr>
          <w:rFonts w:ascii="Times New Roman" w:hAnsi="Times New Roman" w:cs="Times New Roman"/>
          <w:sz w:val="24"/>
          <w:szCs w:val="24"/>
        </w:rPr>
        <w:t>Moreover, the Tax Court itself has previously suggested that a limited partner holding a substantial interest in the partnership could face litigation from the other partners should he or she force a liquidation on the partnership.</w:t>
      </w:r>
      <w:r w:rsidR="007A1B0A" w:rsidRPr="009C6C3C">
        <w:rPr>
          <w:rStyle w:val="FootnoteReference"/>
          <w:rFonts w:ascii="Times New Roman" w:hAnsi="Times New Roman" w:cs="Times New Roman"/>
          <w:sz w:val="24"/>
          <w:szCs w:val="24"/>
        </w:rPr>
        <w:footnoteReference w:id="66"/>
      </w:r>
      <w:r w:rsidR="007A1B0A" w:rsidRPr="009C6C3C">
        <w:rPr>
          <w:rFonts w:ascii="Times New Roman" w:hAnsi="Times New Roman" w:cs="Times New Roman"/>
          <w:sz w:val="24"/>
          <w:szCs w:val="24"/>
        </w:rPr>
        <w:t xml:space="preserve">  </w:t>
      </w:r>
      <w:r w:rsidRPr="009C6C3C">
        <w:rPr>
          <w:rFonts w:ascii="Times New Roman" w:hAnsi="Times New Roman" w:cs="Times New Roman"/>
          <w:sz w:val="24"/>
          <w:szCs w:val="24"/>
        </w:rPr>
        <w:t xml:space="preserve">Given the possible state law constraints on the ability of a limited partner to force a liquidation, any suggestion that such an ability constitutes a </w:t>
      </w:r>
      <w:r w:rsidRPr="009C6C3C">
        <w:rPr>
          <w:rFonts w:ascii="Times New Roman" w:hAnsi="Times New Roman" w:cs="Times New Roman"/>
          <w:i/>
          <w:iCs/>
          <w:sz w:val="24"/>
          <w:szCs w:val="24"/>
        </w:rPr>
        <w:t>per se</w:t>
      </w:r>
      <w:r w:rsidRPr="009C6C3C">
        <w:rPr>
          <w:rFonts w:ascii="Times New Roman" w:hAnsi="Times New Roman" w:cs="Times New Roman"/>
          <w:sz w:val="24"/>
          <w:szCs w:val="24"/>
        </w:rPr>
        <w:t xml:space="preserve"> ground for inclusion is questionable.</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The ability-to-liquidate rationale is questionable on other grounds</w:t>
      </w:r>
      <w:r w:rsidR="00450BC0" w:rsidRPr="009C6C3C">
        <w:rPr>
          <w:rFonts w:ascii="Times New Roman" w:hAnsi="Times New Roman" w:cs="Times New Roman"/>
          <w:sz w:val="24"/>
          <w:szCs w:val="24"/>
        </w:rPr>
        <w:t>,</w:t>
      </w:r>
      <w:r w:rsidRPr="009C6C3C">
        <w:rPr>
          <w:rFonts w:ascii="Times New Roman" w:hAnsi="Times New Roman" w:cs="Times New Roman"/>
          <w:sz w:val="24"/>
          <w:szCs w:val="24"/>
        </w:rPr>
        <w:t xml:space="preserve"> as well.  The in-conjunction-with language in the statute is not a limitless concept.  Courts have held that a power to persuade other equity holders is not within the scope of the concept.</w:t>
      </w:r>
      <w:r w:rsidR="00450BC0" w:rsidRPr="009C6C3C">
        <w:rPr>
          <w:rStyle w:val="FootnoteReference"/>
          <w:rFonts w:ascii="Times New Roman" w:hAnsi="Times New Roman" w:cs="Times New Roman"/>
          <w:sz w:val="24"/>
          <w:szCs w:val="24"/>
        </w:rPr>
        <w:footnoteReference w:id="67"/>
      </w:r>
      <w:r w:rsidRPr="009C6C3C">
        <w:rPr>
          <w:rFonts w:ascii="Times New Roman" w:hAnsi="Times New Roman" w:cs="Times New Roman"/>
          <w:sz w:val="24"/>
          <w:szCs w:val="24"/>
        </w:rPr>
        <w:t xml:space="preserve"> In addition, in </w:t>
      </w:r>
      <w:r w:rsidRPr="009C6C3C">
        <w:rPr>
          <w:rFonts w:ascii="Times New Roman" w:hAnsi="Times New Roman" w:cs="Times New Roman"/>
          <w:i/>
          <w:sz w:val="24"/>
          <w:szCs w:val="24"/>
        </w:rPr>
        <w:t>Byrum</w:t>
      </w:r>
      <w:r w:rsidRPr="009C6C3C">
        <w:rPr>
          <w:rFonts w:ascii="Times New Roman" w:hAnsi="Times New Roman" w:cs="Times New Roman"/>
          <w:sz w:val="24"/>
          <w:szCs w:val="24"/>
        </w:rPr>
        <w:t>, the majority rejected the government’s argument that the ability to force a liquidation should trigger section 2036(a)(1), saying that any such ability is speculative and should not serve as a basis for inclusion.</w:t>
      </w:r>
      <w:r w:rsidR="00CA289B" w:rsidRPr="009C6C3C">
        <w:rPr>
          <w:rStyle w:val="FootnoteReference"/>
          <w:rFonts w:ascii="Times New Roman" w:hAnsi="Times New Roman" w:cs="Times New Roman"/>
          <w:sz w:val="24"/>
          <w:szCs w:val="24"/>
        </w:rPr>
        <w:footnoteReference w:id="68"/>
      </w:r>
      <w:r w:rsidRPr="009C6C3C">
        <w:rPr>
          <w:rFonts w:ascii="Times New Roman" w:hAnsi="Times New Roman" w:cs="Times New Roman"/>
          <w:sz w:val="24"/>
          <w:szCs w:val="24"/>
        </w:rPr>
        <w:t xml:space="preserve">  Given that section 2036(a)(1) is broader in scope than section 2036(a)(2) – in the sense that, under the former provision, there is no requirement that the decedent retain a legally enforceable right – it would be surprising if an attribute found speculative under section 2036(a)(1) could serve as a basis for inclusion under section 2036(a)(2).</w:t>
      </w:r>
      <w:r w:rsidR="00450BC0" w:rsidRPr="009C6C3C">
        <w:rPr>
          <w:rStyle w:val="FootnoteReference"/>
          <w:rFonts w:ascii="Times New Roman" w:hAnsi="Times New Roman" w:cs="Times New Roman"/>
          <w:sz w:val="24"/>
          <w:szCs w:val="24"/>
        </w:rPr>
        <w:footnoteReference w:id="69"/>
      </w:r>
      <w:r w:rsidRPr="009C6C3C">
        <w:rPr>
          <w:rFonts w:ascii="Times New Roman" w:hAnsi="Times New Roman" w:cs="Times New Roman"/>
          <w:sz w:val="24"/>
          <w:szCs w:val="24"/>
        </w:rPr>
        <w:t xml:space="preserve">  </w:t>
      </w:r>
    </w:p>
    <w:p w:rsidR="00646FDB" w:rsidRPr="009C6C3C" w:rsidRDefault="00646FDB" w:rsidP="0055738E">
      <w:pPr>
        <w:autoSpaceDE w:val="0"/>
        <w:autoSpaceDN w:val="0"/>
        <w:adjustRightInd w:val="0"/>
        <w:spacing w:after="0" w:line="240" w:lineRule="auto"/>
        <w:rPr>
          <w:rFonts w:ascii="Times New Roman" w:hAnsi="Times New Roman" w:cs="Times New Roman"/>
          <w:sz w:val="24"/>
          <w:szCs w:val="24"/>
        </w:rPr>
      </w:pPr>
    </w:p>
    <w:p w:rsidR="00646FDB" w:rsidRPr="009C6C3C" w:rsidRDefault="00646FDB"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In sum, </w:t>
      </w:r>
      <w:r w:rsidR="00BD245E" w:rsidRPr="009C6C3C">
        <w:rPr>
          <w:rFonts w:ascii="Times New Roman" w:hAnsi="Times New Roman" w:cs="Times New Roman"/>
          <w:sz w:val="24"/>
          <w:szCs w:val="24"/>
        </w:rPr>
        <w:t xml:space="preserve">despite the abusive nature of the </w:t>
      </w:r>
      <w:r w:rsidR="00BD245E" w:rsidRPr="000D22B4">
        <w:rPr>
          <w:rFonts w:ascii="Times New Roman" w:hAnsi="Times New Roman" w:cs="Times New Roman"/>
          <w:i/>
          <w:sz w:val="24"/>
          <w:szCs w:val="24"/>
        </w:rPr>
        <w:t>Powell</w:t>
      </w:r>
      <w:r w:rsidR="00BD245E" w:rsidRPr="009C6C3C">
        <w:rPr>
          <w:rFonts w:ascii="Times New Roman" w:hAnsi="Times New Roman" w:cs="Times New Roman"/>
          <w:sz w:val="24"/>
          <w:szCs w:val="24"/>
        </w:rPr>
        <w:t xml:space="preserve"> partnership, it is difficult to square the court’s use of section 2036(a)(2) with </w:t>
      </w:r>
      <w:r w:rsidR="00BD245E" w:rsidRPr="000D22B4">
        <w:rPr>
          <w:rFonts w:ascii="Times New Roman" w:hAnsi="Times New Roman" w:cs="Times New Roman"/>
          <w:i/>
          <w:sz w:val="24"/>
          <w:szCs w:val="24"/>
        </w:rPr>
        <w:t>Byrum</w:t>
      </w:r>
      <w:r w:rsidR="00BD245E" w:rsidRPr="009C6C3C">
        <w:rPr>
          <w:rFonts w:ascii="Times New Roman" w:hAnsi="Times New Roman" w:cs="Times New Roman"/>
          <w:sz w:val="24"/>
          <w:szCs w:val="24"/>
        </w:rPr>
        <w:t>, proving the adage that hard cases make for problematic law.</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0D22B4" w:rsidRDefault="002272F9" w:rsidP="004232F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0D22B4">
        <w:rPr>
          <w:rFonts w:ascii="Times New Roman" w:hAnsi="Times New Roman" w:cs="Times New Roman"/>
          <w:sz w:val="24"/>
          <w:szCs w:val="24"/>
        </w:rPr>
        <w:t>The Difficulties with Section 2036 as Applied to Partnerships</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2272F9"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As suggested,</w:t>
      </w:r>
      <w:r w:rsidR="00673823" w:rsidRPr="009C6C3C">
        <w:rPr>
          <w:rFonts w:ascii="Times New Roman" w:hAnsi="Times New Roman" w:cs="Times New Roman"/>
          <w:sz w:val="24"/>
          <w:szCs w:val="24"/>
        </w:rPr>
        <w:t xml:space="preserve"> the outcome </w:t>
      </w:r>
      <w:r w:rsidRPr="009C6C3C">
        <w:rPr>
          <w:rFonts w:ascii="Times New Roman" w:hAnsi="Times New Roman" w:cs="Times New Roman"/>
          <w:sz w:val="24"/>
          <w:szCs w:val="24"/>
        </w:rPr>
        <w:t xml:space="preserve">in </w:t>
      </w:r>
      <w:r w:rsidRPr="009C6C3C">
        <w:rPr>
          <w:rFonts w:ascii="Times New Roman" w:hAnsi="Times New Roman" w:cs="Times New Roman"/>
          <w:i/>
          <w:sz w:val="24"/>
          <w:szCs w:val="24"/>
        </w:rPr>
        <w:t>Powell</w:t>
      </w:r>
      <w:r w:rsidRPr="009C6C3C">
        <w:rPr>
          <w:rFonts w:ascii="Times New Roman" w:hAnsi="Times New Roman" w:cs="Times New Roman"/>
          <w:sz w:val="24"/>
          <w:szCs w:val="24"/>
        </w:rPr>
        <w:t xml:space="preserve"> </w:t>
      </w:r>
      <w:r w:rsidR="00673823" w:rsidRPr="009C6C3C">
        <w:rPr>
          <w:rFonts w:ascii="Times New Roman" w:hAnsi="Times New Roman" w:cs="Times New Roman"/>
          <w:sz w:val="24"/>
          <w:szCs w:val="24"/>
        </w:rPr>
        <w:t>makes sense in policy terms</w:t>
      </w:r>
      <w:r w:rsidR="0055738E" w:rsidRPr="009C6C3C">
        <w:rPr>
          <w:rFonts w:ascii="Times New Roman" w:hAnsi="Times New Roman" w:cs="Times New Roman"/>
          <w:sz w:val="24"/>
          <w:szCs w:val="24"/>
        </w:rPr>
        <w:t>.  For</w:t>
      </w:r>
      <w:r w:rsidR="00673823" w:rsidRPr="009C6C3C">
        <w:rPr>
          <w:rFonts w:ascii="Times New Roman" w:hAnsi="Times New Roman" w:cs="Times New Roman"/>
          <w:sz w:val="24"/>
          <w:szCs w:val="24"/>
        </w:rPr>
        <w:t xml:space="preserve"> it is difficult to view </w:t>
      </w:r>
      <w:r w:rsidR="00673823" w:rsidRPr="009C6C3C">
        <w:rPr>
          <w:rFonts w:ascii="Times New Roman" w:hAnsi="Times New Roman" w:cs="Times New Roman"/>
          <w:i/>
          <w:sz w:val="24"/>
          <w:szCs w:val="24"/>
        </w:rPr>
        <w:t>Powell</w:t>
      </w:r>
      <w:r w:rsidR="00673823" w:rsidRPr="009C6C3C">
        <w:rPr>
          <w:rFonts w:ascii="Times New Roman" w:hAnsi="Times New Roman" w:cs="Times New Roman"/>
          <w:sz w:val="24"/>
          <w:szCs w:val="24"/>
        </w:rPr>
        <w:t xml:space="preserve"> as other than </w:t>
      </w:r>
      <w:r w:rsidR="0055738E" w:rsidRPr="009C6C3C">
        <w:rPr>
          <w:rFonts w:ascii="Times New Roman" w:hAnsi="Times New Roman" w:cs="Times New Roman"/>
          <w:sz w:val="24"/>
          <w:szCs w:val="24"/>
        </w:rPr>
        <w:t xml:space="preserve">an abusive case: The partnership was literally created on the decedent’s deathbed, and the estate did not even attempt to establish a non-tax purpose for its formation.  </w:t>
      </w:r>
      <w:r w:rsidR="00EA0952" w:rsidRPr="009C6C3C">
        <w:rPr>
          <w:rFonts w:ascii="Times New Roman" w:hAnsi="Times New Roman" w:cs="Times New Roman"/>
          <w:sz w:val="24"/>
          <w:szCs w:val="24"/>
        </w:rPr>
        <w:t>Indeed, the estate conceded the applicability of section 2036(a)(2).</w:t>
      </w:r>
      <w:r w:rsidR="00EA0952" w:rsidRPr="009C6C3C">
        <w:rPr>
          <w:rStyle w:val="FootnoteReference"/>
          <w:rFonts w:ascii="Times New Roman" w:hAnsi="Times New Roman" w:cs="Times New Roman"/>
          <w:sz w:val="24"/>
          <w:szCs w:val="24"/>
        </w:rPr>
        <w:footnoteReference w:id="70"/>
      </w:r>
      <w:r w:rsidR="00EA0952" w:rsidRPr="009C6C3C">
        <w:rPr>
          <w:rFonts w:ascii="Times New Roman" w:hAnsi="Times New Roman" w:cs="Times New Roman"/>
          <w:sz w:val="24"/>
          <w:szCs w:val="24"/>
        </w:rPr>
        <w:t xml:space="preserve">  </w:t>
      </w:r>
      <w:r w:rsidR="0055738E" w:rsidRPr="009C6C3C">
        <w:rPr>
          <w:rFonts w:ascii="Times New Roman" w:hAnsi="Times New Roman" w:cs="Times New Roman"/>
          <w:sz w:val="24"/>
          <w:szCs w:val="24"/>
        </w:rPr>
        <w:t xml:space="preserve">The discounts that the family sought through the partnership arrangement simply cannot be justified.  Why, after all, should a family like the Powells be permitted a discount based on this kind of deathbed planning while other families must pay tax on the full value of transferred assets?  Simply put, equity cannot tolerate a discounted estate tax for families who manage to implement </w:t>
      </w:r>
      <w:r w:rsidR="00EA0952" w:rsidRPr="009C6C3C">
        <w:rPr>
          <w:rFonts w:ascii="Times New Roman" w:hAnsi="Times New Roman" w:cs="Times New Roman"/>
          <w:sz w:val="24"/>
          <w:szCs w:val="24"/>
        </w:rPr>
        <w:t xml:space="preserve">such </w:t>
      </w:r>
      <w:r w:rsidR="0055738E" w:rsidRPr="009C6C3C">
        <w:rPr>
          <w:rFonts w:ascii="Times New Roman" w:hAnsi="Times New Roman" w:cs="Times New Roman"/>
          <w:sz w:val="24"/>
          <w:szCs w:val="24"/>
        </w:rPr>
        <w:t xml:space="preserve">a partnership paper shuffle.  </w:t>
      </w:r>
    </w:p>
    <w:p w:rsidR="002272F9" w:rsidRPr="009C6C3C" w:rsidRDefault="002272F9" w:rsidP="0055738E">
      <w:pPr>
        <w:autoSpaceDE w:val="0"/>
        <w:autoSpaceDN w:val="0"/>
        <w:adjustRightInd w:val="0"/>
        <w:spacing w:after="0" w:line="240" w:lineRule="auto"/>
        <w:rPr>
          <w:rFonts w:ascii="Times New Roman" w:hAnsi="Times New Roman" w:cs="Times New Roman"/>
          <w:sz w:val="24"/>
          <w:szCs w:val="24"/>
        </w:rPr>
      </w:pPr>
    </w:p>
    <w:p w:rsidR="002272F9" w:rsidRPr="004E25AB" w:rsidRDefault="002272F9" w:rsidP="004E25AB">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4E25AB">
        <w:rPr>
          <w:rFonts w:ascii="Times New Roman" w:hAnsi="Times New Roman" w:cs="Times New Roman"/>
          <w:sz w:val="24"/>
          <w:szCs w:val="24"/>
        </w:rPr>
        <w:t>Alternative Approaches</w:t>
      </w:r>
      <w:r w:rsidR="00425F88" w:rsidRPr="004E25AB">
        <w:rPr>
          <w:rFonts w:ascii="Times New Roman" w:hAnsi="Times New Roman" w:cs="Times New Roman"/>
          <w:sz w:val="24"/>
          <w:szCs w:val="24"/>
        </w:rPr>
        <w:t>: What Might Have Been?</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The difficulty with </w:t>
      </w:r>
      <w:r w:rsidRPr="009C6C3C">
        <w:rPr>
          <w:rFonts w:ascii="Times New Roman" w:hAnsi="Times New Roman" w:cs="Times New Roman"/>
          <w:i/>
          <w:sz w:val="24"/>
          <w:szCs w:val="24"/>
        </w:rPr>
        <w:t>Powell</w:t>
      </w:r>
      <w:r w:rsidRPr="009C6C3C">
        <w:rPr>
          <w:rFonts w:ascii="Times New Roman" w:hAnsi="Times New Roman" w:cs="Times New Roman"/>
          <w:sz w:val="24"/>
          <w:szCs w:val="24"/>
        </w:rPr>
        <w:t xml:space="preserve"> is the analytical methodology on which it is based, not the outcome.  The methodology stems from the first the Tax Court’s first decision in </w:t>
      </w:r>
      <w:r w:rsidR="00673823" w:rsidRPr="009C6C3C">
        <w:rPr>
          <w:rFonts w:ascii="Times New Roman" w:hAnsi="Times New Roman" w:cs="Times New Roman"/>
          <w:i/>
          <w:sz w:val="24"/>
          <w:szCs w:val="24"/>
        </w:rPr>
        <w:t xml:space="preserve">Estate of </w:t>
      </w:r>
      <w:r w:rsidRPr="009C6C3C">
        <w:rPr>
          <w:rFonts w:ascii="Times New Roman" w:hAnsi="Times New Roman" w:cs="Times New Roman"/>
          <w:i/>
          <w:sz w:val="24"/>
          <w:szCs w:val="24"/>
        </w:rPr>
        <w:t>Strangi</w:t>
      </w:r>
      <w:r w:rsidR="00673823" w:rsidRPr="009C6C3C">
        <w:rPr>
          <w:rFonts w:ascii="Times New Roman" w:hAnsi="Times New Roman" w:cs="Times New Roman"/>
          <w:i/>
          <w:sz w:val="24"/>
          <w:szCs w:val="24"/>
        </w:rPr>
        <w:t xml:space="preserve"> v. Commissioner</w:t>
      </w:r>
      <w:r w:rsidRPr="009C6C3C">
        <w:rPr>
          <w:rFonts w:ascii="Times New Roman" w:hAnsi="Times New Roman" w:cs="Times New Roman"/>
          <w:sz w:val="24"/>
          <w:szCs w:val="24"/>
        </w:rPr>
        <w:t>,</w:t>
      </w:r>
      <w:r w:rsidR="00673823" w:rsidRPr="009C6C3C">
        <w:rPr>
          <w:rStyle w:val="FootnoteReference"/>
          <w:rFonts w:ascii="Times New Roman" w:hAnsi="Times New Roman" w:cs="Times New Roman"/>
          <w:sz w:val="24"/>
          <w:szCs w:val="24"/>
        </w:rPr>
        <w:footnoteReference w:id="71"/>
      </w:r>
      <w:r w:rsidRPr="009C6C3C">
        <w:rPr>
          <w:rFonts w:ascii="Times New Roman" w:hAnsi="Times New Roman" w:cs="Times New Roman"/>
          <w:sz w:val="24"/>
          <w:szCs w:val="24"/>
        </w:rPr>
        <w:t xml:space="preserve"> where the court failed to embrace a more appropriate methodology for closing down abusive partnerships.  The IRS had made two arguments that, if successful, would have permitted a denial of discounts for tax-driven partnerships: 1) that a partnership formed to avoid the estate tax should be disregarded;</w:t>
      </w:r>
      <w:r w:rsidR="00EA0952" w:rsidRPr="009C6C3C">
        <w:rPr>
          <w:rStyle w:val="FootnoteReference"/>
          <w:rFonts w:ascii="Times New Roman" w:hAnsi="Times New Roman" w:cs="Times New Roman"/>
          <w:sz w:val="24"/>
          <w:szCs w:val="24"/>
        </w:rPr>
        <w:footnoteReference w:id="72"/>
      </w:r>
      <w:r w:rsidRPr="009C6C3C">
        <w:rPr>
          <w:rFonts w:ascii="Times New Roman" w:hAnsi="Times New Roman" w:cs="Times New Roman"/>
          <w:sz w:val="24"/>
          <w:szCs w:val="24"/>
        </w:rPr>
        <w:t xml:space="preserve"> and 2) that a taxable gift can occur upon the formation of a partnership.</w:t>
      </w:r>
      <w:r w:rsidR="000D551B" w:rsidRPr="009C6C3C">
        <w:rPr>
          <w:rStyle w:val="FootnoteReference"/>
          <w:rFonts w:ascii="Times New Roman" w:hAnsi="Times New Roman" w:cs="Times New Roman"/>
          <w:sz w:val="24"/>
          <w:szCs w:val="24"/>
        </w:rPr>
        <w:footnoteReference w:id="73"/>
      </w:r>
      <w:r w:rsidRPr="009C6C3C">
        <w:rPr>
          <w:rFonts w:ascii="Times New Roman" w:hAnsi="Times New Roman" w:cs="Times New Roman"/>
          <w:sz w:val="24"/>
          <w:szCs w:val="24"/>
        </w:rPr>
        <w:t xml:space="preserve">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B80A11"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Under either of these approaches, the question of inclusion would appropriately turn on the presence of</w:t>
      </w:r>
      <w:r w:rsidR="00352755">
        <w:rPr>
          <w:rFonts w:ascii="Times New Roman" w:hAnsi="Times New Roman" w:cs="Times New Roman"/>
          <w:sz w:val="24"/>
          <w:szCs w:val="24"/>
        </w:rPr>
        <w:t xml:space="preserve"> a</w:t>
      </w:r>
      <w:r w:rsidRPr="009C6C3C">
        <w:rPr>
          <w:rFonts w:ascii="Times New Roman" w:hAnsi="Times New Roman" w:cs="Times New Roman"/>
          <w:sz w:val="24"/>
          <w:szCs w:val="24"/>
        </w:rPr>
        <w:t xml:space="preserve"> non-tax purpose, rather than the applicability of section 2036.  Under the first approach, a partnership such as the Powells</w:t>
      </w:r>
      <w:r w:rsidR="00F66FE0" w:rsidRPr="009C6C3C">
        <w:rPr>
          <w:rFonts w:ascii="Times New Roman" w:hAnsi="Times New Roman" w:cs="Times New Roman"/>
          <w:sz w:val="24"/>
          <w:szCs w:val="24"/>
        </w:rPr>
        <w:t>’</w:t>
      </w:r>
      <w:r w:rsidRPr="009C6C3C">
        <w:rPr>
          <w:rFonts w:ascii="Times New Roman" w:hAnsi="Times New Roman" w:cs="Times New Roman"/>
          <w:sz w:val="24"/>
          <w:szCs w:val="24"/>
        </w:rPr>
        <w:t>, with no non-tax purpose, would be disregarded at the time of death, leading to inclusion of the partnership assets in the estate on an undiscounted basis.  Under the second approach, a contribution of assets to a partnership in exchange for a partnership interest having a lesser value, based on discount, would make a taxable gift equal to the difference, unless it could be shown that the partnership was formed in the ordinary course of business.</w:t>
      </w:r>
      <w:r w:rsidR="000D551B" w:rsidRPr="009C6C3C">
        <w:rPr>
          <w:rStyle w:val="FootnoteReference"/>
          <w:rFonts w:ascii="Times New Roman" w:hAnsi="Times New Roman" w:cs="Times New Roman"/>
          <w:sz w:val="24"/>
          <w:szCs w:val="24"/>
        </w:rPr>
        <w:footnoteReference w:id="74"/>
      </w:r>
      <w:r w:rsidRPr="009C6C3C">
        <w:rPr>
          <w:rFonts w:ascii="Times New Roman" w:hAnsi="Times New Roman" w:cs="Times New Roman"/>
          <w:sz w:val="24"/>
          <w:szCs w:val="24"/>
        </w:rPr>
        <w:t xml:space="preserve">  </w:t>
      </w:r>
    </w:p>
    <w:p w:rsidR="00B80A11" w:rsidRPr="009C6C3C" w:rsidRDefault="00B80A11"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To illustrate the second approach, consider a contribution of $1 million in securities to a partnership in exchange for a limited partnership interest having a discounted value of $700,000.  If it could be shown that the partnership was formed in the ordinary course of business</w:t>
      </w:r>
      <w:r w:rsidR="00064F61" w:rsidRPr="009C6C3C">
        <w:rPr>
          <w:rFonts w:ascii="Times New Roman" w:hAnsi="Times New Roman" w:cs="Times New Roman"/>
          <w:sz w:val="24"/>
          <w:szCs w:val="24"/>
        </w:rPr>
        <w:t xml:space="preserve"> </w:t>
      </w:r>
      <w:r w:rsidR="00953009" w:rsidRPr="009C6C3C">
        <w:rPr>
          <w:rFonts w:ascii="Times New Roman" w:hAnsi="Times New Roman" w:cs="Times New Roman"/>
          <w:sz w:val="24"/>
          <w:szCs w:val="24"/>
        </w:rPr>
        <w:t>–</w:t>
      </w:r>
      <w:r w:rsidR="00064F61" w:rsidRPr="009C6C3C">
        <w:rPr>
          <w:rFonts w:ascii="Times New Roman" w:hAnsi="Times New Roman" w:cs="Times New Roman"/>
          <w:sz w:val="24"/>
          <w:szCs w:val="24"/>
        </w:rPr>
        <w:t xml:space="preserve"> </w:t>
      </w:r>
      <w:r w:rsidR="00953009" w:rsidRPr="009C6C3C">
        <w:rPr>
          <w:rFonts w:ascii="Times New Roman" w:hAnsi="Times New Roman" w:cs="Times New Roman"/>
          <w:sz w:val="24"/>
          <w:szCs w:val="24"/>
        </w:rPr>
        <w:t>in an arm’s length transaction that is bona fide and free from donative intent</w:t>
      </w:r>
      <w:r w:rsidR="00953009" w:rsidRPr="009C6C3C">
        <w:rPr>
          <w:rStyle w:val="FootnoteReference"/>
          <w:rFonts w:ascii="Times New Roman" w:hAnsi="Times New Roman" w:cs="Times New Roman"/>
          <w:sz w:val="24"/>
          <w:szCs w:val="24"/>
        </w:rPr>
        <w:footnoteReference w:id="75"/>
      </w:r>
      <w:r w:rsidR="00953009" w:rsidRPr="009C6C3C">
        <w:rPr>
          <w:rFonts w:ascii="Times New Roman" w:hAnsi="Times New Roman" w:cs="Times New Roman"/>
          <w:sz w:val="24"/>
          <w:szCs w:val="24"/>
        </w:rPr>
        <w:t xml:space="preserve"> --</w:t>
      </w:r>
      <w:r w:rsidRPr="009C6C3C">
        <w:rPr>
          <w:rFonts w:ascii="Times New Roman" w:hAnsi="Times New Roman" w:cs="Times New Roman"/>
          <w:sz w:val="24"/>
          <w:szCs w:val="24"/>
        </w:rPr>
        <w:t xml:space="preserve"> no gift would occur on formation.  But if </w:t>
      </w:r>
      <w:r w:rsidR="00953009" w:rsidRPr="009C6C3C">
        <w:rPr>
          <w:rFonts w:ascii="Times New Roman" w:hAnsi="Times New Roman" w:cs="Times New Roman"/>
          <w:sz w:val="24"/>
          <w:szCs w:val="24"/>
        </w:rPr>
        <w:t xml:space="preserve">the partnership were formed to move wealth on a discounted basis, it would not be in </w:t>
      </w:r>
      <w:r w:rsidRPr="009C6C3C">
        <w:rPr>
          <w:rFonts w:ascii="Times New Roman" w:hAnsi="Times New Roman" w:cs="Times New Roman"/>
          <w:sz w:val="24"/>
          <w:szCs w:val="24"/>
        </w:rPr>
        <w:t>the ordinary course of business</w:t>
      </w:r>
      <w:r w:rsidR="00953009" w:rsidRPr="009C6C3C">
        <w:rPr>
          <w:rFonts w:ascii="Times New Roman" w:hAnsi="Times New Roman" w:cs="Times New Roman"/>
          <w:sz w:val="24"/>
          <w:szCs w:val="24"/>
        </w:rPr>
        <w:t xml:space="preserve"> and</w:t>
      </w:r>
      <w:r w:rsidRPr="009C6C3C">
        <w:rPr>
          <w:rFonts w:ascii="Times New Roman" w:hAnsi="Times New Roman" w:cs="Times New Roman"/>
          <w:sz w:val="24"/>
          <w:szCs w:val="24"/>
        </w:rPr>
        <w:t xml:space="preserve"> the difference of $300,000 would constitute a taxable gift.</w:t>
      </w:r>
      <w:r w:rsidR="0083523A" w:rsidRPr="009C6C3C">
        <w:rPr>
          <w:rStyle w:val="FootnoteReference"/>
          <w:rFonts w:ascii="Times New Roman" w:hAnsi="Times New Roman" w:cs="Times New Roman"/>
          <w:sz w:val="24"/>
          <w:szCs w:val="24"/>
        </w:rPr>
        <w:footnoteReference w:id="76"/>
      </w:r>
      <w:r w:rsidRPr="009C6C3C">
        <w:rPr>
          <w:rFonts w:ascii="Times New Roman" w:hAnsi="Times New Roman" w:cs="Times New Roman"/>
          <w:sz w:val="24"/>
          <w:szCs w:val="24"/>
        </w:rPr>
        <w:t xml:space="preserve">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425F88" w:rsidRPr="001A37DB" w:rsidRDefault="00425F88" w:rsidP="004E25AB">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1A37DB">
        <w:rPr>
          <w:rFonts w:ascii="Times New Roman" w:hAnsi="Times New Roman" w:cs="Times New Roman"/>
          <w:sz w:val="24"/>
          <w:szCs w:val="24"/>
        </w:rPr>
        <w:t>Section 2036 in Partnership Context: Square Peg into Round Hole</w:t>
      </w:r>
    </w:p>
    <w:p w:rsidR="00425F88" w:rsidRPr="009C6C3C" w:rsidRDefault="00425F88"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Having closed down these paths in its first </w:t>
      </w:r>
      <w:r w:rsidRPr="009C6C3C">
        <w:rPr>
          <w:rFonts w:ascii="Times New Roman" w:hAnsi="Times New Roman" w:cs="Times New Roman"/>
          <w:i/>
          <w:sz w:val="24"/>
          <w:szCs w:val="24"/>
        </w:rPr>
        <w:t>Strangi</w:t>
      </w:r>
      <w:r w:rsidRPr="009C6C3C">
        <w:rPr>
          <w:rFonts w:ascii="Times New Roman" w:hAnsi="Times New Roman" w:cs="Times New Roman"/>
          <w:sz w:val="24"/>
          <w:szCs w:val="24"/>
        </w:rPr>
        <w:t xml:space="preserve"> decision and having been affirmed in the Fifth Circuit,</w:t>
      </w:r>
      <w:r w:rsidR="0083523A" w:rsidRPr="009C6C3C">
        <w:rPr>
          <w:rStyle w:val="FootnoteReference"/>
          <w:rFonts w:ascii="Times New Roman" w:hAnsi="Times New Roman" w:cs="Times New Roman"/>
          <w:sz w:val="24"/>
          <w:szCs w:val="24"/>
        </w:rPr>
        <w:footnoteReference w:id="77"/>
      </w:r>
      <w:r w:rsidRPr="009C6C3C">
        <w:rPr>
          <w:rFonts w:ascii="Times New Roman" w:hAnsi="Times New Roman" w:cs="Times New Roman"/>
          <w:sz w:val="24"/>
          <w:szCs w:val="24"/>
        </w:rPr>
        <w:t xml:space="preserve"> the </w:t>
      </w:r>
      <w:r w:rsidR="00325CEA" w:rsidRPr="009C6C3C">
        <w:rPr>
          <w:rFonts w:ascii="Times New Roman" w:hAnsi="Times New Roman" w:cs="Times New Roman"/>
          <w:sz w:val="24"/>
          <w:szCs w:val="24"/>
        </w:rPr>
        <w:t>Tax Court</w:t>
      </w:r>
      <w:r w:rsidRPr="009C6C3C">
        <w:rPr>
          <w:rFonts w:ascii="Times New Roman" w:hAnsi="Times New Roman" w:cs="Times New Roman"/>
          <w:sz w:val="24"/>
          <w:szCs w:val="24"/>
        </w:rPr>
        <w:t xml:space="preserve"> on remand</w:t>
      </w:r>
      <w:r w:rsidR="00325CEA" w:rsidRPr="009C6C3C">
        <w:rPr>
          <w:rStyle w:val="FootnoteReference"/>
          <w:rFonts w:ascii="Times New Roman" w:hAnsi="Times New Roman" w:cs="Times New Roman"/>
          <w:sz w:val="24"/>
          <w:szCs w:val="24"/>
        </w:rPr>
        <w:footnoteReference w:id="78"/>
      </w:r>
      <w:r w:rsidRPr="009C6C3C">
        <w:rPr>
          <w:rFonts w:ascii="Times New Roman" w:hAnsi="Times New Roman" w:cs="Times New Roman"/>
          <w:sz w:val="24"/>
          <w:szCs w:val="24"/>
        </w:rPr>
        <w:t xml:space="preserve"> opened a new path for the IRS in its second </w:t>
      </w:r>
      <w:r w:rsidRPr="009C6C3C">
        <w:rPr>
          <w:rFonts w:ascii="Times New Roman" w:hAnsi="Times New Roman" w:cs="Times New Roman"/>
          <w:i/>
          <w:sz w:val="24"/>
          <w:szCs w:val="24"/>
        </w:rPr>
        <w:t>Strangi</w:t>
      </w:r>
      <w:r w:rsidRPr="009C6C3C">
        <w:rPr>
          <w:rFonts w:ascii="Times New Roman" w:hAnsi="Times New Roman" w:cs="Times New Roman"/>
          <w:sz w:val="24"/>
          <w:szCs w:val="24"/>
        </w:rPr>
        <w:t xml:space="preserve"> decision: section 2036.</w:t>
      </w:r>
      <w:r w:rsidR="00325CEA" w:rsidRPr="009C6C3C">
        <w:rPr>
          <w:rStyle w:val="FootnoteReference"/>
          <w:rFonts w:ascii="Times New Roman" w:hAnsi="Times New Roman" w:cs="Times New Roman"/>
          <w:sz w:val="24"/>
          <w:szCs w:val="24"/>
        </w:rPr>
        <w:footnoteReference w:id="79"/>
      </w:r>
      <w:r w:rsidRPr="009C6C3C">
        <w:rPr>
          <w:rFonts w:ascii="Times New Roman" w:hAnsi="Times New Roman" w:cs="Times New Roman"/>
          <w:sz w:val="24"/>
          <w:szCs w:val="24"/>
        </w:rPr>
        <w:t xml:space="preserve">  But </w:t>
      </w:r>
      <w:r w:rsidR="00325CEA" w:rsidRPr="009C6C3C">
        <w:rPr>
          <w:rFonts w:ascii="Times New Roman" w:hAnsi="Times New Roman" w:cs="Times New Roman"/>
          <w:sz w:val="24"/>
          <w:szCs w:val="24"/>
        </w:rPr>
        <w:t>the use of</w:t>
      </w:r>
      <w:r w:rsidRPr="009C6C3C">
        <w:rPr>
          <w:rFonts w:ascii="Times New Roman" w:hAnsi="Times New Roman" w:cs="Times New Roman"/>
          <w:sz w:val="24"/>
          <w:szCs w:val="24"/>
        </w:rPr>
        <w:t xml:space="preserve"> section 2036 to combat abusive partnerships is like trying to put a square peg into a round hole, raising several issues.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First, the courts had to determine whether the decedent had retained a sufficient interest with respect to the partnership’s assets. The courts have issued many </w:t>
      </w:r>
      <w:r w:rsidR="0019090A" w:rsidRPr="009C6C3C">
        <w:rPr>
          <w:rFonts w:ascii="Times New Roman" w:hAnsi="Times New Roman" w:cs="Times New Roman"/>
          <w:sz w:val="24"/>
          <w:szCs w:val="24"/>
        </w:rPr>
        <w:t>decisions</w:t>
      </w:r>
      <w:r w:rsidRPr="009C6C3C">
        <w:rPr>
          <w:rFonts w:ascii="Times New Roman" w:hAnsi="Times New Roman" w:cs="Times New Roman"/>
          <w:sz w:val="24"/>
          <w:szCs w:val="24"/>
        </w:rPr>
        <w:t xml:space="preserve"> that wrestle with this issue, most of which hinge on whether there was an implied understanding that the decedent would continue to have access to partnership assets.</w:t>
      </w:r>
      <w:r w:rsidR="0019090A" w:rsidRPr="009C6C3C">
        <w:rPr>
          <w:rStyle w:val="FootnoteReference"/>
          <w:rFonts w:ascii="Times New Roman" w:hAnsi="Times New Roman" w:cs="Times New Roman"/>
          <w:sz w:val="24"/>
          <w:szCs w:val="24"/>
        </w:rPr>
        <w:footnoteReference w:id="80"/>
      </w:r>
      <w:r w:rsidRPr="009C6C3C">
        <w:rPr>
          <w:rFonts w:ascii="Times New Roman" w:hAnsi="Times New Roman" w:cs="Times New Roman"/>
          <w:sz w:val="24"/>
          <w:szCs w:val="24"/>
        </w:rPr>
        <w:t xml:space="preserve"> If the court can find such an implied understanding, it can apply section 2036(a)(1).  The difficulty with these decisions, however, is that, if the decedent does not receive any distributions and retains sufficient assets outside of the partnership to cover the cost of living, there may well be no basis for finding an implied understanding.</w:t>
      </w:r>
      <w:r w:rsidR="0019090A" w:rsidRPr="009C6C3C">
        <w:rPr>
          <w:rStyle w:val="FootnoteReference"/>
          <w:rFonts w:ascii="Times New Roman" w:hAnsi="Times New Roman" w:cs="Times New Roman"/>
          <w:sz w:val="24"/>
          <w:szCs w:val="24"/>
        </w:rPr>
        <w:footnoteReference w:id="81"/>
      </w:r>
      <w:r w:rsidRPr="009C6C3C">
        <w:rPr>
          <w:rFonts w:ascii="Times New Roman" w:hAnsi="Times New Roman" w:cs="Times New Roman"/>
          <w:sz w:val="24"/>
          <w:szCs w:val="24"/>
        </w:rPr>
        <w:t xml:space="preserve">  This difficulty is exacerbated by a practical reality: Wealthier clients, who </w:t>
      </w:r>
      <w:r w:rsidR="0019090A" w:rsidRPr="009C6C3C">
        <w:rPr>
          <w:rFonts w:ascii="Times New Roman" w:hAnsi="Times New Roman" w:cs="Times New Roman"/>
          <w:sz w:val="24"/>
          <w:szCs w:val="24"/>
        </w:rPr>
        <w:t xml:space="preserve">may be more comfortable “locking up” a portion of their assets in a partnership while </w:t>
      </w:r>
      <w:r w:rsidRPr="009C6C3C">
        <w:rPr>
          <w:rFonts w:ascii="Times New Roman" w:hAnsi="Times New Roman" w:cs="Times New Roman"/>
          <w:sz w:val="24"/>
          <w:szCs w:val="24"/>
        </w:rPr>
        <w:t>retain</w:t>
      </w:r>
      <w:r w:rsidR="0019090A" w:rsidRPr="009C6C3C">
        <w:rPr>
          <w:rFonts w:ascii="Times New Roman" w:hAnsi="Times New Roman" w:cs="Times New Roman"/>
          <w:sz w:val="24"/>
          <w:szCs w:val="24"/>
        </w:rPr>
        <w:t>ing</w:t>
      </w:r>
      <w:r w:rsidRPr="009C6C3C">
        <w:rPr>
          <w:rFonts w:ascii="Times New Roman" w:hAnsi="Times New Roman" w:cs="Times New Roman"/>
          <w:sz w:val="24"/>
          <w:szCs w:val="24"/>
        </w:rPr>
        <w:t xml:space="preserve"> sufficient non-partnership assets, </w:t>
      </w:r>
      <w:r w:rsidR="0019090A" w:rsidRPr="009C6C3C">
        <w:rPr>
          <w:rFonts w:ascii="Times New Roman" w:hAnsi="Times New Roman" w:cs="Times New Roman"/>
          <w:sz w:val="24"/>
          <w:szCs w:val="24"/>
        </w:rPr>
        <w:t xml:space="preserve">may </w:t>
      </w:r>
      <w:r w:rsidRPr="009C6C3C">
        <w:rPr>
          <w:rFonts w:ascii="Times New Roman" w:hAnsi="Times New Roman" w:cs="Times New Roman"/>
          <w:sz w:val="24"/>
          <w:szCs w:val="24"/>
        </w:rPr>
        <w:t xml:space="preserve">find it easier to exploit these cases.  The use of section 2036(a)(2), as in </w:t>
      </w:r>
      <w:r w:rsidRPr="009C6C3C">
        <w:rPr>
          <w:rFonts w:ascii="Times New Roman" w:hAnsi="Times New Roman" w:cs="Times New Roman"/>
          <w:i/>
          <w:sz w:val="24"/>
          <w:szCs w:val="24"/>
        </w:rPr>
        <w:t>Powell</w:t>
      </w:r>
      <w:r w:rsidRPr="009C6C3C">
        <w:rPr>
          <w:rFonts w:ascii="Times New Roman" w:hAnsi="Times New Roman" w:cs="Times New Roman"/>
          <w:sz w:val="24"/>
          <w:szCs w:val="24"/>
        </w:rPr>
        <w:t xml:space="preserve">, addresses these difficulties by expanding the IRS arsenal and thereby erecting another hurdle for taxpayers seeking to avoid the impact of section 2036.  But, as suggested, the expansion comes at the price of muddying up the contours of the </w:t>
      </w:r>
      <w:r w:rsidR="0019090A" w:rsidRPr="009C6C3C">
        <w:rPr>
          <w:rFonts w:ascii="Times New Roman" w:hAnsi="Times New Roman" w:cs="Times New Roman"/>
          <w:sz w:val="24"/>
          <w:szCs w:val="24"/>
        </w:rPr>
        <w:t>provision</w:t>
      </w:r>
      <w:r w:rsidRPr="009C6C3C">
        <w:rPr>
          <w:rFonts w:ascii="Times New Roman" w:hAnsi="Times New Roman" w:cs="Times New Roman"/>
          <w:sz w:val="24"/>
          <w:szCs w:val="24"/>
        </w:rPr>
        <w:t xml:space="preserve">: It converts the </w:t>
      </w:r>
      <w:r w:rsidRPr="009C6C3C">
        <w:rPr>
          <w:rFonts w:ascii="Times New Roman" w:hAnsi="Times New Roman" w:cs="Times New Roman"/>
          <w:i/>
          <w:sz w:val="24"/>
          <w:szCs w:val="24"/>
        </w:rPr>
        <w:t>Byrum</w:t>
      </w:r>
      <w:r w:rsidRPr="009C6C3C">
        <w:rPr>
          <w:rFonts w:ascii="Times New Roman" w:hAnsi="Times New Roman" w:cs="Times New Roman"/>
          <w:sz w:val="24"/>
          <w:szCs w:val="24"/>
        </w:rPr>
        <w:t xml:space="preserve"> majority’s rule into the standard sought by the dissent, in effect accepting the uncertainty that concerned the </w:t>
      </w:r>
      <w:r w:rsidRPr="009C6C3C">
        <w:rPr>
          <w:rFonts w:ascii="Times New Roman" w:hAnsi="Times New Roman" w:cs="Times New Roman"/>
          <w:i/>
          <w:sz w:val="24"/>
          <w:szCs w:val="24"/>
        </w:rPr>
        <w:t>Byrum</w:t>
      </w:r>
      <w:r w:rsidRPr="009C6C3C">
        <w:rPr>
          <w:rFonts w:ascii="Times New Roman" w:hAnsi="Times New Roman" w:cs="Times New Roman"/>
          <w:sz w:val="24"/>
          <w:szCs w:val="24"/>
        </w:rPr>
        <w:t xml:space="preserve"> majority in order to close down abuse.</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Second, the courts had to consider how to apply the bona fide exception in section 2036.  Under conventional thinking, the exception applies if the decedent had received adequate consideration in the exchange (i.e., a consideration equal in value to the transferred asset).  The exception in effect prevents against the double inclusion that might otherwise result: section 2033 inclusion of the consideration received by the decedent in addition to section 2036 inclusion of the </w:t>
      </w:r>
      <w:r w:rsidR="0019090A" w:rsidRPr="009C6C3C">
        <w:rPr>
          <w:rFonts w:ascii="Times New Roman" w:hAnsi="Times New Roman" w:cs="Times New Roman"/>
          <w:sz w:val="24"/>
          <w:szCs w:val="24"/>
        </w:rPr>
        <w:t xml:space="preserve">assets </w:t>
      </w:r>
      <w:r w:rsidRPr="009C6C3C">
        <w:rPr>
          <w:rFonts w:ascii="Times New Roman" w:hAnsi="Times New Roman" w:cs="Times New Roman"/>
          <w:sz w:val="24"/>
          <w:szCs w:val="24"/>
        </w:rPr>
        <w:t xml:space="preserve">transferred </w:t>
      </w:r>
      <w:r w:rsidR="0019090A" w:rsidRPr="009C6C3C">
        <w:rPr>
          <w:rFonts w:ascii="Times New Roman" w:hAnsi="Times New Roman" w:cs="Times New Roman"/>
          <w:sz w:val="24"/>
          <w:szCs w:val="24"/>
        </w:rPr>
        <w:t>to the partnership</w:t>
      </w:r>
      <w:r w:rsidRPr="009C6C3C">
        <w:rPr>
          <w:rFonts w:ascii="Times New Roman" w:hAnsi="Times New Roman" w:cs="Times New Roman"/>
          <w:sz w:val="24"/>
          <w:szCs w:val="24"/>
        </w:rPr>
        <w:t xml:space="preserve">.  Even </w:t>
      </w:r>
      <w:r w:rsidR="001A056B">
        <w:rPr>
          <w:rFonts w:ascii="Times New Roman" w:hAnsi="Times New Roman" w:cs="Times New Roman"/>
          <w:sz w:val="24"/>
          <w:szCs w:val="24"/>
        </w:rPr>
        <w:t>if the exchange or transaction were</w:t>
      </w:r>
      <w:r w:rsidRPr="009C6C3C">
        <w:rPr>
          <w:rFonts w:ascii="Times New Roman" w:hAnsi="Times New Roman" w:cs="Times New Roman"/>
          <w:sz w:val="24"/>
          <w:szCs w:val="24"/>
        </w:rPr>
        <w:t xml:space="preserve"> tax-driven, the exception appropriately applied to prevent double inclusion</w:t>
      </w:r>
      <w:r w:rsidR="0019090A" w:rsidRPr="009C6C3C">
        <w:rPr>
          <w:rFonts w:ascii="Times New Roman" w:hAnsi="Times New Roman" w:cs="Times New Roman"/>
          <w:sz w:val="24"/>
          <w:szCs w:val="24"/>
        </w:rPr>
        <w:t xml:space="preserve"> as long as adequate consideration was received</w:t>
      </w:r>
      <w:r w:rsidRPr="009C6C3C">
        <w:rPr>
          <w:rFonts w:ascii="Times New Roman" w:hAnsi="Times New Roman" w:cs="Times New Roman"/>
          <w:sz w:val="24"/>
          <w:szCs w:val="24"/>
        </w:rPr>
        <w:t>.</w:t>
      </w:r>
      <w:r w:rsidR="00E27871" w:rsidRPr="009C6C3C">
        <w:rPr>
          <w:rStyle w:val="FootnoteReference"/>
          <w:rFonts w:ascii="Times New Roman" w:hAnsi="Times New Roman" w:cs="Times New Roman"/>
          <w:sz w:val="24"/>
          <w:szCs w:val="24"/>
        </w:rPr>
        <w:footnoteReference w:id="82"/>
      </w:r>
      <w:r w:rsidRPr="009C6C3C">
        <w:rPr>
          <w:rFonts w:ascii="Times New Roman" w:hAnsi="Times New Roman" w:cs="Times New Roman"/>
          <w:sz w:val="24"/>
          <w:szCs w:val="24"/>
        </w:rPr>
        <w:t xml:space="preserve">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D05275"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With the application of section 2036 to partnerships, the exception had to be modified to take into account whether a non-tax purpose for forming the partnership</w:t>
      </w:r>
      <w:r w:rsidR="00D66DC5" w:rsidRPr="009C6C3C">
        <w:rPr>
          <w:rFonts w:ascii="Times New Roman" w:hAnsi="Times New Roman" w:cs="Times New Roman"/>
          <w:sz w:val="24"/>
          <w:szCs w:val="24"/>
        </w:rPr>
        <w:t xml:space="preserve"> was present</w:t>
      </w:r>
      <w:r w:rsidRPr="009C6C3C">
        <w:rPr>
          <w:rFonts w:ascii="Times New Roman" w:hAnsi="Times New Roman" w:cs="Times New Roman"/>
          <w:sz w:val="24"/>
          <w:szCs w:val="24"/>
        </w:rPr>
        <w:t xml:space="preserve">.  Otherwise, section 2036 would be rendered useless in the partnership setting: A contribution of assets to a partnership in exchange for a partnership interest could be seen as an exchange for adequate consideration if the contribution of the transferor partner were properly reflected in the capital accounts, thus making the </w:t>
      </w:r>
      <w:r w:rsidR="00D66DC5" w:rsidRPr="009C6C3C">
        <w:rPr>
          <w:rFonts w:ascii="Times New Roman" w:hAnsi="Times New Roman" w:cs="Times New Roman"/>
          <w:sz w:val="24"/>
          <w:szCs w:val="24"/>
        </w:rPr>
        <w:t>exception applicable – and section 2036 inapplicable – in all partnership cases</w:t>
      </w:r>
      <w:r w:rsidRPr="009C6C3C">
        <w:rPr>
          <w:rFonts w:ascii="Times New Roman" w:hAnsi="Times New Roman" w:cs="Times New Roman"/>
          <w:sz w:val="24"/>
          <w:szCs w:val="24"/>
        </w:rPr>
        <w:t xml:space="preserve"> as long as </w:t>
      </w:r>
      <w:r w:rsidR="00D66DC5" w:rsidRPr="009C6C3C">
        <w:rPr>
          <w:rFonts w:ascii="Times New Roman" w:hAnsi="Times New Roman" w:cs="Times New Roman"/>
          <w:sz w:val="24"/>
          <w:szCs w:val="24"/>
        </w:rPr>
        <w:t xml:space="preserve">its </w:t>
      </w:r>
      <w:r w:rsidRPr="009C6C3C">
        <w:rPr>
          <w:rFonts w:ascii="Times New Roman" w:hAnsi="Times New Roman" w:cs="Times New Roman"/>
          <w:sz w:val="24"/>
          <w:szCs w:val="24"/>
        </w:rPr>
        <w:t>formation was properly implemented.  To make sure that section 2036 had teeth in the partnership context, it was necessary to make the exception turn on the presence of non-tax purpose.  Thus, even if the decedent’s contribution to the partnership were properly reflected in the capital accounts, the exception would not be available in the absence of a non-tax purpose.</w:t>
      </w:r>
      <w:r w:rsidR="00D66DC5" w:rsidRPr="009C6C3C">
        <w:rPr>
          <w:rStyle w:val="FootnoteReference"/>
          <w:rFonts w:ascii="Times New Roman" w:hAnsi="Times New Roman" w:cs="Times New Roman"/>
          <w:sz w:val="24"/>
          <w:szCs w:val="24"/>
        </w:rPr>
        <w:footnoteReference w:id="83"/>
      </w:r>
      <w:r w:rsidRPr="009C6C3C">
        <w:rPr>
          <w:rFonts w:ascii="Times New Roman" w:hAnsi="Times New Roman" w:cs="Times New Roman"/>
          <w:sz w:val="24"/>
          <w:szCs w:val="24"/>
        </w:rPr>
        <w:t xml:space="preserve"> </w:t>
      </w:r>
    </w:p>
    <w:p w:rsidR="00D05275" w:rsidRPr="009C6C3C" w:rsidRDefault="00D05275"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D05275"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T</w:t>
      </w:r>
      <w:r w:rsidR="0055738E" w:rsidRPr="009C6C3C">
        <w:rPr>
          <w:rFonts w:ascii="Times New Roman" w:hAnsi="Times New Roman" w:cs="Times New Roman"/>
          <w:sz w:val="24"/>
          <w:szCs w:val="24"/>
        </w:rPr>
        <w:t xml:space="preserve">he question that </w:t>
      </w:r>
      <w:r w:rsidRPr="009C6C3C">
        <w:rPr>
          <w:rFonts w:ascii="Times New Roman" w:hAnsi="Times New Roman" w:cs="Times New Roman"/>
          <w:sz w:val="24"/>
          <w:szCs w:val="24"/>
        </w:rPr>
        <w:t>arises</w:t>
      </w:r>
      <w:r w:rsidR="0055738E" w:rsidRPr="009C6C3C">
        <w:rPr>
          <w:rFonts w:ascii="Times New Roman" w:hAnsi="Times New Roman" w:cs="Times New Roman"/>
          <w:sz w:val="24"/>
          <w:szCs w:val="24"/>
        </w:rPr>
        <w:t xml:space="preserve"> is whether the non-tax-purpose requirement will now be made applicable in non-partnership cases. In effect, the requirement aids in distinguishing between tax-driven (abusive) partnerships and those formed for a legitimate business reason.  Had the court in its first decision in </w:t>
      </w:r>
      <w:r w:rsidR="0055738E" w:rsidRPr="009C6C3C">
        <w:rPr>
          <w:rFonts w:ascii="Times New Roman" w:hAnsi="Times New Roman" w:cs="Times New Roman"/>
          <w:i/>
          <w:sz w:val="24"/>
          <w:szCs w:val="24"/>
        </w:rPr>
        <w:t>Strangi</w:t>
      </w:r>
      <w:r w:rsidR="0055738E" w:rsidRPr="009C6C3C">
        <w:rPr>
          <w:rFonts w:ascii="Times New Roman" w:hAnsi="Times New Roman" w:cs="Times New Roman"/>
          <w:sz w:val="24"/>
          <w:szCs w:val="24"/>
        </w:rPr>
        <w:t xml:space="preserve"> embraced one of the IRS arguments, it could have more easily integrated such a requirement into the analysis.  But, having rejected those arguments, it became necessary for the courts to “smuggle” a non-tax or business requirement back into the analysis via the bona-fide exception – reshaping the exception and raising questions about its contours in the non-partnership context.</w:t>
      </w:r>
      <w:r w:rsidRPr="009C6C3C">
        <w:rPr>
          <w:rStyle w:val="FootnoteReference"/>
          <w:rFonts w:ascii="Times New Roman" w:hAnsi="Times New Roman" w:cs="Times New Roman"/>
          <w:sz w:val="24"/>
          <w:szCs w:val="24"/>
        </w:rPr>
        <w:footnoteReference w:id="84"/>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The third type of difficulty engendered by the application of section 2036 in the partnership context relates to the offset permitted under section 2043.  Where a transfer is made that triggers section </w:t>
      </w:r>
      <w:r w:rsidR="005E48B7" w:rsidRPr="009C6C3C">
        <w:rPr>
          <w:rFonts w:ascii="Times New Roman" w:hAnsi="Times New Roman" w:cs="Times New Roman"/>
          <w:sz w:val="24"/>
          <w:szCs w:val="24"/>
        </w:rPr>
        <w:t>2036 and the transferor receives</w:t>
      </w:r>
      <w:r w:rsidRPr="009C6C3C">
        <w:rPr>
          <w:rFonts w:ascii="Times New Roman" w:hAnsi="Times New Roman" w:cs="Times New Roman"/>
          <w:sz w:val="24"/>
          <w:szCs w:val="24"/>
        </w:rPr>
        <w:t xml:space="preserve"> consideration in the exchange but not consideration equal to the value of the transferred asset, the bona fide exception cannot apply.  Nonetheless, under section 2043, the amount of the inclusion under section 2036 is offset (reduced) by the amount of the consideration received by the decedent (based on the value of the consideration at the time of the exchange).  In the absence of the offset, both the transferred asset and the asset received as consideration for the transfer would be included in the transferor’s gross estate.  Such double inclusion would not be consistent with the purpose of section 2036 – to prevent the transferred asset from escaping taxation where the transfer is in substance testamentary by reason of rights or access retained by the transferor.</w:t>
      </w:r>
      <w:r w:rsidR="00F3241E" w:rsidRPr="009C6C3C">
        <w:rPr>
          <w:rStyle w:val="FootnoteReference"/>
          <w:rFonts w:ascii="Times New Roman" w:hAnsi="Times New Roman" w:cs="Times New Roman"/>
          <w:sz w:val="24"/>
          <w:szCs w:val="24"/>
        </w:rPr>
        <w:footnoteReference w:id="85"/>
      </w:r>
      <w:r w:rsidRPr="009C6C3C">
        <w:rPr>
          <w:rFonts w:ascii="Times New Roman" w:hAnsi="Times New Roman" w:cs="Times New Roman"/>
          <w:sz w:val="24"/>
          <w:szCs w:val="24"/>
        </w:rPr>
        <w:t xml:space="preserve"> Thus, even though the transferor did not receive full consideration and the bona fide exception therefore cannot apply, the section 2043 offset </w:t>
      </w:r>
      <w:r w:rsidR="00F3241E" w:rsidRPr="009C6C3C">
        <w:rPr>
          <w:rFonts w:ascii="Times New Roman" w:hAnsi="Times New Roman" w:cs="Times New Roman"/>
          <w:sz w:val="24"/>
          <w:szCs w:val="24"/>
        </w:rPr>
        <w:t>nonetheless applies to prevent</w:t>
      </w:r>
      <w:r w:rsidRPr="009C6C3C">
        <w:rPr>
          <w:rFonts w:ascii="Times New Roman" w:hAnsi="Times New Roman" w:cs="Times New Roman"/>
          <w:sz w:val="24"/>
          <w:szCs w:val="24"/>
        </w:rPr>
        <w:t xml:space="preserve"> double inclusion.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F3241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Having decided that section 2036 can be used to eliminate partnership discounts, the courts had to address the double-inclusion problem in the partnership setting:  If the section is used to include the partnership assets in the gross estate, how should the partnership interest be treated?</w:t>
      </w:r>
      <w:r w:rsidR="00220D72" w:rsidRPr="009C6C3C">
        <w:rPr>
          <w:rStyle w:val="FootnoteReference"/>
          <w:rFonts w:ascii="Times New Roman" w:hAnsi="Times New Roman" w:cs="Times New Roman"/>
          <w:sz w:val="24"/>
          <w:szCs w:val="24"/>
        </w:rPr>
        <w:footnoteReference w:id="86"/>
      </w:r>
      <w:r w:rsidRPr="009C6C3C">
        <w:rPr>
          <w:rFonts w:ascii="Times New Roman" w:hAnsi="Times New Roman" w:cs="Times New Roman"/>
          <w:sz w:val="24"/>
          <w:szCs w:val="24"/>
        </w:rPr>
        <w:t xml:space="preserve">  If the partnership interest is included under section 2033 and the partnership assets are included, as well, under 2036, a mechanism is needed to prevent double inclusion.  Assuming the bona fide exception does not apply because the estate fails to establish a sufficient non-tax purpose for the partnership, there would appear to be two alternative mechanisms: disregard of the partnership units or a section 2043 offset.  </w:t>
      </w:r>
    </w:p>
    <w:p w:rsidR="00F3241E" w:rsidRPr="009C6C3C" w:rsidRDefault="00F3241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In </w:t>
      </w:r>
      <w:r w:rsidRPr="009C6C3C">
        <w:rPr>
          <w:rFonts w:ascii="Times New Roman" w:hAnsi="Times New Roman" w:cs="Times New Roman"/>
          <w:i/>
          <w:sz w:val="24"/>
          <w:szCs w:val="24"/>
        </w:rPr>
        <w:t>Powell</w:t>
      </w:r>
      <w:r w:rsidRPr="009C6C3C">
        <w:rPr>
          <w:rFonts w:ascii="Times New Roman" w:hAnsi="Times New Roman" w:cs="Times New Roman"/>
          <w:sz w:val="24"/>
          <w:szCs w:val="24"/>
        </w:rPr>
        <w:t>, the court divided on this question.  The concurring opinion argued that, once it is determined that the partnership assets must be included under section 2036, the partnership units should be disregarded, resulting in the section 2036 inclusion of the partnership assets and no 2033 inclusion of the units.</w:t>
      </w:r>
      <w:r w:rsidR="00F3241E" w:rsidRPr="009C6C3C">
        <w:rPr>
          <w:rStyle w:val="FootnoteReference"/>
          <w:rFonts w:ascii="Times New Roman" w:hAnsi="Times New Roman" w:cs="Times New Roman"/>
          <w:sz w:val="24"/>
          <w:szCs w:val="24"/>
        </w:rPr>
        <w:footnoteReference w:id="87"/>
      </w:r>
      <w:r w:rsidRPr="009C6C3C">
        <w:rPr>
          <w:rFonts w:ascii="Times New Roman" w:hAnsi="Times New Roman" w:cs="Times New Roman"/>
          <w:sz w:val="24"/>
          <w:szCs w:val="24"/>
        </w:rPr>
        <w:t xml:space="preserve">  The majority, on the other hand, concluded that the section 2043 offset is the proper mechanism.</w:t>
      </w:r>
      <w:r w:rsidR="00F3241E" w:rsidRPr="009C6C3C">
        <w:rPr>
          <w:rStyle w:val="FootnoteReference"/>
          <w:rFonts w:ascii="Times New Roman" w:hAnsi="Times New Roman" w:cs="Times New Roman"/>
          <w:sz w:val="24"/>
          <w:szCs w:val="24"/>
        </w:rPr>
        <w:footnoteReference w:id="88"/>
      </w:r>
      <w:r w:rsidRPr="009C6C3C">
        <w:rPr>
          <w:rFonts w:ascii="Times New Roman" w:hAnsi="Times New Roman" w:cs="Times New Roman"/>
          <w:sz w:val="24"/>
          <w:szCs w:val="24"/>
        </w:rPr>
        <w:t xml:space="preserve">  Under the majority’s approach, the offset is equal to the value of the limited partnership units measured at the time the assets were contributed to the partnership.</w:t>
      </w:r>
      <w:r w:rsidR="00F3241E" w:rsidRPr="009C6C3C">
        <w:rPr>
          <w:rStyle w:val="FootnoteReference"/>
          <w:rFonts w:ascii="Times New Roman" w:hAnsi="Times New Roman" w:cs="Times New Roman"/>
          <w:sz w:val="24"/>
          <w:szCs w:val="24"/>
        </w:rPr>
        <w:footnoteReference w:id="89"/>
      </w:r>
      <w:r w:rsidRPr="009C6C3C">
        <w:rPr>
          <w:rFonts w:ascii="Times New Roman" w:hAnsi="Times New Roman" w:cs="Times New Roman"/>
          <w:sz w:val="24"/>
          <w:szCs w:val="24"/>
        </w:rPr>
        <w:t xml:space="preserve">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To illustrate, assume the decedent transferred $10 million in assets to a partnership and received in exchange a limited partnership unit with a value of $7 million (the partnership unit is </w:t>
      </w:r>
      <w:r w:rsidR="00F3241E" w:rsidRPr="009C6C3C">
        <w:rPr>
          <w:rFonts w:ascii="Times New Roman" w:hAnsi="Times New Roman" w:cs="Times New Roman"/>
          <w:sz w:val="24"/>
          <w:szCs w:val="24"/>
        </w:rPr>
        <w:t>hypothesized</w:t>
      </w:r>
      <w:r w:rsidRPr="009C6C3C">
        <w:rPr>
          <w:rFonts w:ascii="Times New Roman" w:hAnsi="Times New Roman" w:cs="Times New Roman"/>
          <w:sz w:val="24"/>
          <w:szCs w:val="24"/>
        </w:rPr>
        <w:t xml:space="preserve"> to be worth less than the contributed assets on account of </w:t>
      </w:r>
      <w:r w:rsidR="00277DF2" w:rsidRPr="009C6C3C">
        <w:rPr>
          <w:rFonts w:ascii="Times New Roman" w:hAnsi="Times New Roman" w:cs="Times New Roman"/>
          <w:sz w:val="24"/>
          <w:szCs w:val="24"/>
        </w:rPr>
        <w:t xml:space="preserve">an assumed </w:t>
      </w:r>
      <w:r w:rsidRPr="009C6C3C">
        <w:rPr>
          <w:rFonts w:ascii="Times New Roman" w:hAnsi="Times New Roman" w:cs="Times New Roman"/>
          <w:sz w:val="24"/>
          <w:szCs w:val="24"/>
        </w:rPr>
        <w:t>thirty-percent discount).  If, at the time of death, the assets still have a value of $10 million, the net section 2036 inclusion would be $3 million (the $10 million value of partnership assets at the date of death less the $7 million value of the partnership units on the date of the initial transfer to the partnership).  In addition, the limited partnership units, having a value of $7 million, would be included under section 2033.  Since the objective is to tax the estate on the value of the partnership’s assets, $10 million, the majority’s approach produces the correct result</w:t>
      </w:r>
      <w:r w:rsidR="00F3241E" w:rsidRPr="009C6C3C">
        <w:rPr>
          <w:rFonts w:ascii="Times New Roman" w:hAnsi="Times New Roman" w:cs="Times New Roman"/>
          <w:sz w:val="24"/>
          <w:szCs w:val="24"/>
        </w:rPr>
        <w:t xml:space="preserve"> on these facts</w:t>
      </w:r>
      <w:r w:rsidRPr="009C6C3C">
        <w:rPr>
          <w:rFonts w:ascii="Times New Roman" w:hAnsi="Times New Roman" w:cs="Times New Roman"/>
          <w:sz w:val="24"/>
          <w:szCs w:val="24"/>
        </w:rPr>
        <w:t>.  The approach taken in the concurring opinion would</w:t>
      </w:r>
      <w:r w:rsidR="00F3241E" w:rsidRPr="009C6C3C">
        <w:rPr>
          <w:rFonts w:ascii="Times New Roman" w:hAnsi="Times New Roman" w:cs="Times New Roman"/>
          <w:sz w:val="24"/>
          <w:szCs w:val="24"/>
        </w:rPr>
        <w:t xml:space="preserve"> also</w:t>
      </w:r>
      <w:r w:rsidRPr="009C6C3C">
        <w:rPr>
          <w:rFonts w:ascii="Times New Roman" w:hAnsi="Times New Roman" w:cs="Times New Roman"/>
          <w:sz w:val="24"/>
          <w:szCs w:val="24"/>
        </w:rPr>
        <w:t xml:space="preserve"> lead to the same (correct) result inasmuch as it would require a $10 million inclusion under section 2036 and a disregard of the limited partnership units (i.e., no inclusion under section 2033).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Difficulty arises, however, if the value of the partnership’s assets ha</w:t>
      </w:r>
      <w:r w:rsidR="00962568">
        <w:rPr>
          <w:rFonts w:ascii="Times New Roman" w:hAnsi="Times New Roman" w:cs="Times New Roman"/>
          <w:sz w:val="24"/>
          <w:szCs w:val="24"/>
        </w:rPr>
        <w:t>s</w:t>
      </w:r>
      <w:r w:rsidRPr="009C6C3C">
        <w:rPr>
          <w:rFonts w:ascii="Times New Roman" w:hAnsi="Times New Roman" w:cs="Times New Roman"/>
          <w:sz w:val="24"/>
          <w:szCs w:val="24"/>
        </w:rPr>
        <w:t xml:space="preserve"> fluctuated by the time of death.  If, in this example, the partnership assets doubled in value by the time of death, the net section 2036 inclusion would be $13 million: the value of the partnership assets at the time of death, $20 million, less the value of the units at the time of the transfer to the partnership, $7 million.  In addition, the units would produce a section 2033 inclusion of $14 million (the units having doubled in value, as well).  Thus, under the majority approach, the total inclusion would be $27 million (</w:t>
      </w:r>
      <w:r w:rsidR="00303C95" w:rsidRPr="009C6C3C">
        <w:rPr>
          <w:rFonts w:ascii="Times New Roman" w:hAnsi="Times New Roman" w:cs="Times New Roman"/>
          <w:sz w:val="24"/>
          <w:szCs w:val="24"/>
        </w:rPr>
        <w:t xml:space="preserve">section </w:t>
      </w:r>
      <w:r w:rsidRPr="009C6C3C">
        <w:rPr>
          <w:rFonts w:ascii="Times New Roman" w:hAnsi="Times New Roman" w:cs="Times New Roman"/>
          <w:sz w:val="24"/>
          <w:szCs w:val="24"/>
        </w:rPr>
        <w:t xml:space="preserve">2033 inclusion of $14 million and a net </w:t>
      </w:r>
      <w:r w:rsidR="006B6E24" w:rsidRPr="009C6C3C">
        <w:rPr>
          <w:rFonts w:ascii="Times New Roman" w:hAnsi="Times New Roman" w:cs="Times New Roman"/>
          <w:sz w:val="24"/>
          <w:szCs w:val="24"/>
        </w:rPr>
        <w:t>section</w:t>
      </w:r>
      <w:r w:rsidRPr="009C6C3C">
        <w:rPr>
          <w:rFonts w:ascii="Times New Roman" w:hAnsi="Times New Roman" w:cs="Times New Roman"/>
          <w:sz w:val="24"/>
          <w:szCs w:val="24"/>
        </w:rPr>
        <w:t xml:space="preserve"> 2036 inclusion of $13 million) – a problematic result given that only $20 million would have been in the gross estate had the partnership never been formed. </w:t>
      </w:r>
    </w:p>
    <w:p w:rsidR="004D15CA" w:rsidRPr="009C6C3C" w:rsidRDefault="004D15CA" w:rsidP="0055738E">
      <w:pPr>
        <w:autoSpaceDE w:val="0"/>
        <w:autoSpaceDN w:val="0"/>
        <w:adjustRightInd w:val="0"/>
        <w:spacing w:after="0" w:line="240" w:lineRule="auto"/>
        <w:rPr>
          <w:rFonts w:ascii="Times New Roman" w:hAnsi="Times New Roman" w:cs="Times New Roman"/>
          <w:sz w:val="24"/>
          <w:szCs w:val="24"/>
        </w:rPr>
      </w:pPr>
    </w:p>
    <w:p w:rsidR="0014398B" w:rsidRPr="009C6C3C" w:rsidRDefault="004D15CA"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An equally problematic result arises, as the majority acknowledges,</w:t>
      </w:r>
      <w:r w:rsidRPr="009C6C3C">
        <w:rPr>
          <w:rStyle w:val="FootnoteReference"/>
          <w:rFonts w:ascii="Times New Roman" w:hAnsi="Times New Roman" w:cs="Times New Roman"/>
          <w:sz w:val="24"/>
          <w:szCs w:val="24"/>
        </w:rPr>
        <w:footnoteReference w:id="90"/>
      </w:r>
      <w:r w:rsidRPr="009C6C3C">
        <w:rPr>
          <w:rFonts w:ascii="Times New Roman" w:hAnsi="Times New Roman" w:cs="Times New Roman"/>
          <w:sz w:val="24"/>
          <w:szCs w:val="24"/>
        </w:rPr>
        <w:t xml:space="preserve"> if the partnership assets decline in value.  For example, if in the example the partnership assets had declined in value to $5 million by the date of death, the net section 2036 inclusion would be zero (i.e., value of the partnership assets at death of $5 million reduced under section 2043 by the $7 million value of the limited partnership units at the time of formation – with the section 2043 offset being available to reduce the amount otherwise includible under section 2036</w:t>
      </w:r>
      <w:r w:rsidRPr="009C6C3C">
        <w:rPr>
          <w:rStyle w:val="FootnoteReference"/>
          <w:rFonts w:ascii="Times New Roman" w:hAnsi="Times New Roman" w:cs="Times New Roman"/>
          <w:sz w:val="24"/>
          <w:szCs w:val="24"/>
        </w:rPr>
        <w:footnoteReference w:id="91"/>
      </w:r>
      <w:r w:rsidRPr="009C6C3C">
        <w:rPr>
          <w:rFonts w:ascii="Times New Roman" w:hAnsi="Times New Roman" w:cs="Times New Roman"/>
          <w:sz w:val="24"/>
          <w:szCs w:val="24"/>
        </w:rPr>
        <w:t>)  And, of course, the date-of-death value of the limited partnership units would be included in the gross estate under section 2033.  Thus, assuming again a thirty</w:t>
      </w:r>
      <w:r w:rsidR="00962568">
        <w:rPr>
          <w:rFonts w:ascii="Times New Roman" w:hAnsi="Times New Roman" w:cs="Times New Roman"/>
          <w:sz w:val="24"/>
          <w:szCs w:val="24"/>
        </w:rPr>
        <w:t>-</w:t>
      </w:r>
      <w:r w:rsidRPr="009C6C3C">
        <w:rPr>
          <w:rFonts w:ascii="Times New Roman" w:hAnsi="Times New Roman" w:cs="Times New Roman"/>
          <w:sz w:val="24"/>
          <w:szCs w:val="24"/>
        </w:rPr>
        <w:t xml:space="preserve">percent discount, the $5 million in partnership assets would produce a section 2033 inclusion of $3.5 million -- a problematic outcome given that </w:t>
      </w:r>
      <w:r w:rsidR="0014398B" w:rsidRPr="009C6C3C">
        <w:rPr>
          <w:rFonts w:ascii="Times New Roman" w:hAnsi="Times New Roman" w:cs="Times New Roman"/>
          <w:sz w:val="24"/>
          <w:szCs w:val="24"/>
        </w:rPr>
        <w:t xml:space="preserve">a discount is permitted </w:t>
      </w:r>
      <w:r w:rsidRPr="009C6C3C">
        <w:rPr>
          <w:rFonts w:ascii="Times New Roman" w:hAnsi="Times New Roman" w:cs="Times New Roman"/>
          <w:sz w:val="24"/>
          <w:szCs w:val="24"/>
        </w:rPr>
        <w:t xml:space="preserve">even </w:t>
      </w:r>
      <w:r w:rsidR="0014398B" w:rsidRPr="009C6C3C">
        <w:rPr>
          <w:rFonts w:ascii="Times New Roman" w:hAnsi="Times New Roman" w:cs="Times New Roman"/>
          <w:sz w:val="24"/>
          <w:szCs w:val="24"/>
        </w:rPr>
        <w:t>if</w:t>
      </w:r>
      <w:r w:rsidRPr="009C6C3C">
        <w:rPr>
          <w:rFonts w:ascii="Times New Roman" w:hAnsi="Times New Roman" w:cs="Times New Roman"/>
          <w:sz w:val="24"/>
          <w:szCs w:val="24"/>
        </w:rPr>
        <w:t xml:space="preserve"> there w</w:t>
      </w:r>
      <w:r w:rsidR="00557C76">
        <w:rPr>
          <w:rFonts w:ascii="Times New Roman" w:hAnsi="Times New Roman" w:cs="Times New Roman"/>
          <w:sz w:val="24"/>
          <w:szCs w:val="24"/>
        </w:rPr>
        <w:t>ere</w:t>
      </w:r>
      <w:r w:rsidRPr="009C6C3C">
        <w:rPr>
          <w:rFonts w:ascii="Times New Roman" w:hAnsi="Times New Roman" w:cs="Times New Roman"/>
          <w:sz w:val="24"/>
          <w:szCs w:val="24"/>
        </w:rPr>
        <w:t xml:space="preserve"> no non-tax purpose for forming the partnership.  Put differently, the example illustrates that section 2036 can be ineffective in combating abusive partnerships.  </w:t>
      </w:r>
    </w:p>
    <w:p w:rsidR="0014398B" w:rsidRPr="009C6C3C" w:rsidRDefault="0014398B" w:rsidP="0055738E">
      <w:pPr>
        <w:autoSpaceDE w:val="0"/>
        <w:autoSpaceDN w:val="0"/>
        <w:adjustRightInd w:val="0"/>
        <w:spacing w:after="0" w:line="240" w:lineRule="auto"/>
        <w:rPr>
          <w:rFonts w:ascii="Times New Roman" w:hAnsi="Times New Roman" w:cs="Times New Roman"/>
          <w:sz w:val="24"/>
          <w:szCs w:val="24"/>
        </w:rPr>
      </w:pPr>
    </w:p>
    <w:p w:rsidR="004D15CA" w:rsidRPr="009C6C3C" w:rsidRDefault="0014398B" w:rsidP="0055738E">
      <w:pPr>
        <w:autoSpaceDE w:val="0"/>
        <w:autoSpaceDN w:val="0"/>
        <w:adjustRightInd w:val="0"/>
        <w:spacing w:after="0" w:line="240" w:lineRule="auto"/>
        <w:rPr>
          <w:rFonts w:ascii="Times New Roman" w:hAnsi="Times New Roman" w:cs="Times New Roman"/>
          <w:sz w:val="24"/>
          <w:szCs w:val="24"/>
        </w:rPr>
      </w:pPr>
      <w:bookmarkStart w:id="106" w:name="_Hlk485122970"/>
      <w:r w:rsidRPr="009C6C3C">
        <w:rPr>
          <w:rFonts w:ascii="Times New Roman" w:hAnsi="Times New Roman" w:cs="Times New Roman"/>
          <w:sz w:val="24"/>
          <w:szCs w:val="24"/>
        </w:rPr>
        <w:t xml:space="preserve">It also suggests that the approach taken by the concurring opinion in </w:t>
      </w:r>
      <w:r w:rsidRPr="009C6C3C">
        <w:rPr>
          <w:rFonts w:ascii="Times New Roman" w:hAnsi="Times New Roman" w:cs="Times New Roman"/>
          <w:i/>
          <w:sz w:val="24"/>
          <w:szCs w:val="24"/>
        </w:rPr>
        <w:t>Powell</w:t>
      </w:r>
      <w:r w:rsidRPr="009C6C3C">
        <w:rPr>
          <w:rFonts w:ascii="Times New Roman" w:hAnsi="Times New Roman" w:cs="Times New Roman"/>
          <w:sz w:val="24"/>
          <w:szCs w:val="24"/>
        </w:rPr>
        <w:t xml:space="preserve"> might be preferable.  On the assumed facts, under the concurring opinion’s approach, the $5 million in partnership assets would be included under section 2036, and the limited partnership interest would be disregarded.  Given that the decedent’s intended beneficiaries would receive $5 million in assets, including $5 million in the gross estate and thereby denying the estate any discount would appear to be consistent with the policy objective of denying discounts for tax-driven partnerships.</w:t>
      </w:r>
    </w:p>
    <w:bookmarkEnd w:id="106"/>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In sum, section 2036 is not a perfect fit in the partnership context.  As suggested, other approaches might have been a more effective, and less problematic, weapon to close down partnership abuse.  But having chosen section 2036, the courts are left with the complications such as those that surfaced in </w:t>
      </w:r>
      <w:r w:rsidRPr="009C6C3C">
        <w:rPr>
          <w:rFonts w:ascii="Times New Roman" w:hAnsi="Times New Roman" w:cs="Times New Roman"/>
          <w:i/>
          <w:sz w:val="24"/>
          <w:szCs w:val="24"/>
        </w:rPr>
        <w:t>Powell</w:t>
      </w:r>
      <w:r w:rsidRPr="009C6C3C">
        <w:rPr>
          <w:rFonts w:ascii="Times New Roman" w:hAnsi="Times New Roman" w:cs="Times New Roman"/>
          <w:sz w:val="24"/>
          <w:szCs w:val="24"/>
        </w:rPr>
        <w:t xml:space="preserve">.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4E25AB" w:rsidP="005573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V. </w:t>
      </w:r>
      <w:r w:rsidR="0055738E" w:rsidRPr="009C6C3C">
        <w:rPr>
          <w:rFonts w:ascii="Times New Roman" w:hAnsi="Times New Roman" w:cs="Times New Roman"/>
          <w:sz w:val="24"/>
          <w:szCs w:val="24"/>
        </w:rPr>
        <w:t>Planning</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The principal focus in partnership planning has been section 2036(a)(1).  Thus, in addition to documenting a non-tax purpose for the partnership, conservative planners seek to avoid an IRS implied-understanding argument: recommending that sufficient assets be retained outside of the partnership to cover the cost of living, as well as anticipated estate tax, and that distributions be avoided.  While </w:t>
      </w:r>
      <w:r w:rsidRPr="009C6C3C">
        <w:rPr>
          <w:rFonts w:ascii="Times New Roman" w:hAnsi="Times New Roman" w:cs="Times New Roman"/>
          <w:i/>
          <w:sz w:val="24"/>
          <w:szCs w:val="24"/>
        </w:rPr>
        <w:t xml:space="preserve">Strangi </w:t>
      </w:r>
      <w:r w:rsidRPr="009C6C3C">
        <w:rPr>
          <w:rFonts w:ascii="Times New Roman" w:hAnsi="Times New Roman" w:cs="Times New Roman"/>
          <w:sz w:val="24"/>
          <w:szCs w:val="24"/>
        </w:rPr>
        <w:t xml:space="preserve">suggested the need to consider the threat of section 2036(a)(2), many may have dismissed it as a memorandum decision and its analysis as mere dicta given the conclusion that section 2036(a)(1) applied as well.  But things have now changed.  With fifteen Tax Court judges now endorsing </w:t>
      </w:r>
      <w:r w:rsidRPr="009C6C3C">
        <w:rPr>
          <w:rFonts w:ascii="Times New Roman" w:hAnsi="Times New Roman" w:cs="Times New Roman"/>
          <w:i/>
          <w:sz w:val="24"/>
          <w:szCs w:val="24"/>
        </w:rPr>
        <w:t>Strangi</w:t>
      </w:r>
      <w:r w:rsidRPr="009C6C3C">
        <w:rPr>
          <w:rFonts w:ascii="Times New Roman" w:hAnsi="Times New Roman" w:cs="Times New Roman"/>
          <w:sz w:val="24"/>
          <w:szCs w:val="24"/>
        </w:rPr>
        <w:t>,</w:t>
      </w:r>
      <w:r w:rsidR="009C45FB" w:rsidRPr="009C6C3C">
        <w:rPr>
          <w:rFonts w:ascii="Times New Roman" w:hAnsi="Times New Roman" w:cs="Times New Roman"/>
          <w:sz w:val="24"/>
          <w:szCs w:val="24"/>
        </w:rPr>
        <w:t xml:space="preserve"> </w:t>
      </w:r>
      <w:r w:rsidRPr="009C6C3C">
        <w:rPr>
          <w:rFonts w:ascii="Times New Roman" w:hAnsi="Times New Roman" w:cs="Times New Roman"/>
          <w:sz w:val="24"/>
          <w:szCs w:val="24"/>
        </w:rPr>
        <w:t>it is important for planners to rethink their approach.</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14398B"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Planners may therefore want to consider a few possible approaches in terms of </w:t>
      </w:r>
      <w:r w:rsidRPr="009C6C3C">
        <w:rPr>
          <w:rFonts w:ascii="Times New Roman" w:hAnsi="Times New Roman" w:cs="Times New Roman"/>
          <w:i/>
          <w:sz w:val="24"/>
          <w:szCs w:val="24"/>
        </w:rPr>
        <w:t>Powell</w:t>
      </w:r>
      <w:r w:rsidRPr="009C6C3C">
        <w:rPr>
          <w:rFonts w:ascii="Times New Roman" w:hAnsi="Times New Roman" w:cs="Times New Roman"/>
          <w:sz w:val="24"/>
          <w:szCs w:val="24"/>
        </w:rPr>
        <w:t xml:space="preserve">’s section 2036(a)(2) analysis.  </w:t>
      </w:r>
      <w:r w:rsidR="0055738E" w:rsidRPr="009C6C3C">
        <w:rPr>
          <w:rFonts w:ascii="Times New Roman" w:hAnsi="Times New Roman" w:cs="Times New Roman"/>
          <w:sz w:val="24"/>
          <w:szCs w:val="24"/>
        </w:rPr>
        <w:t xml:space="preserve">First, </w:t>
      </w:r>
      <w:r w:rsidR="0055738E" w:rsidRPr="009C6C3C">
        <w:rPr>
          <w:rFonts w:ascii="Times New Roman" w:hAnsi="Times New Roman" w:cs="Times New Roman"/>
          <w:i/>
          <w:sz w:val="24"/>
          <w:szCs w:val="24"/>
        </w:rPr>
        <w:t>Strangi</w:t>
      </w:r>
      <w:r w:rsidR="0055738E" w:rsidRPr="009C6C3C">
        <w:rPr>
          <w:rFonts w:ascii="Times New Roman" w:hAnsi="Times New Roman" w:cs="Times New Roman"/>
          <w:sz w:val="24"/>
          <w:szCs w:val="24"/>
        </w:rPr>
        <w:t xml:space="preserve"> and </w:t>
      </w:r>
      <w:r w:rsidR="0055738E" w:rsidRPr="009C6C3C">
        <w:rPr>
          <w:rFonts w:ascii="Times New Roman" w:hAnsi="Times New Roman" w:cs="Times New Roman"/>
          <w:i/>
          <w:sz w:val="24"/>
          <w:szCs w:val="24"/>
        </w:rPr>
        <w:t>Powell</w:t>
      </w:r>
      <w:r w:rsidR="0055738E" w:rsidRPr="009C6C3C">
        <w:rPr>
          <w:rFonts w:ascii="Times New Roman" w:hAnsi="Times New Roman" w:cs="Times New Roman"/>
          <w:sz w:val="24"/>
          <w:szCs w:val="24"/>
        </w:rPr>
        <w:t xml:space="preserve"> involved what might be considered </w:t>
      </w:r>
      <w:r w:rsidR="00FC7C06" w:rsidRPr="009C6C3C">
        <w:rPr>
          <w:rFonts w:ascii="Times New Roman" w:hAnsi="Times New Roman" w:cs="Times New Roman"/>
          <w:sz w:val="24"/>
          <w:szCs w:val="24"/>
        </w:rPr>
        <w:t>“</w:t>
      </w:r>
      <w:r w:rsidR="0055738E" w:rsidRPr="009C6C3C">
        <w:rPr>
          <w:rFonts w:ascii="Times New Roman" w:hAnsi="Times New Roman" w:cs="Times New Roman"/>
          <w:sz w:val="24"/>
          <w:szCs w:val="24"/>
        </w:rPr>
        <w:t>low-hanging fruit</w:t>
      </w:r>
      <w:r w:rsidR="00FC7C06" w:rsidRPr="009C6C3C">
        <w:rPr>
          <w:rFonts w:ascii="Times New Roman" w:hAnsi="Times New Roman" w:cs="Times New Roman"/>
          <w:sz w:val="24"/>
          <w:szCs w:val="24"/>
        </w:rPr>
        <w:t>”</w:t>
      </w:r>
      <w:r w:rsidR="0055738E" w:rsidRPr="009C6C3C">
        <w:rPr>
          <w:rFonts w:ascii="Times New Roman" w:hAnsi="Times New Roman" w:cs="Times New Roman"/>
          <w:sz w:val="24"/>
          <w:szCs w:val="24"/>
        </w:rPr>
        <w:t xml:space="preserve"> in the sense that the general partner, who had discretion with respect to distributions, was also the </w:t>
      </w:r>
      <w:r w:rsidR="009F22BF" w:rsidRPr="009C6C3C">
        <w:rPr>
          <w:rFonts w:ascii="Times New Roman" w:hAnsi="Times New Roman" w:cs="Times New Roman"/>
          <w:sz w:val="24"/>
          <w:szCs w:val="24"/>
        </w:rPr>
        <w:t xml:space="preserve">decedent’s </w:t>
      </w:r>
      <w:r w:rsidR="009B23B3" w:rsidRPr="009C6C3C">
        <w:rPr>
          <w:rFonts w:ascii="Times New Roman" w:hAnsi="Times New Roman" w:cs="Times New Roman"/>
          <w:sz w:val="24"/>
          <w:szCs w:val="24"/>
        </w:rPr>
        <w:t>attorney in fact</w:t>
      </w:r>
      <w:r w:rsidR="0055738E" w:rsidRPr="009C6C3C">
        <w:rPr>
          <w:rFonts w:ascii="Times New Roman" w:hAnsi="Times New Roman" w:cs="Times New Roman"/>
          <w:sz w:val="24"/>
          <w:szCs w:val="24"/>
        </w:rPr>
        <w:t xml:space="preserve"> under a power of attorney.  Given </w:t>
      </w:r>
      <w:r w:rsidR="0055738E" w:rsidRPr="009C6C3C">
        <w:rPr>
          <w:rFonts w:ascii="Times New Roman" w:hAnsi="Times New Roman" w:cs="Times New Roman"/>
          <w:i/>
          <w:sz w:val="24"/>
          <w:szCs w:val="24"/>
        </w:rPr>
        <w:t>Powell</w:t>
      </w:r>
      <w:r w:rsidR="0055738E" w:rsidRPr="009C6C3C">
        <w:rPr>
          <w:rFonts w:ascii="Times New Roman" w:hAnsi="Times New Roman" w:cs="Times New Roman"/>
          <w:sz w:val="24"/>
          <w:szCs w:val="24"/>
        </w:rPr>
        <w:t xml:space="preserve">, it would not be prudent to permit the </w:t>
      </w:r>
      <w:r w:rsidRPr="009C6C3C">
        <w:rPr>
          <w:rFonts w:ascii="Times New Roman" w:hAnsi="Times New Roman" w:cs="Times New Roman"/>
          <w:sz w:val="24"/>
          <w:szCs w:val="24"/>
        </w:rPr>
        <w:t xml:space="preserve">person designated as </w:t>
      </w:r>
      <w:r w:rsidR="0055738E" w:rsidRPr="009C6C3C">
        <w:rPr>
          <w:rFonts w:ascii="Times New Roman" w:hAnsi="Times New Roman" w:cs="Times New Roman"/>
          <w:sz w:val="24"/>
          <w:szCs w:val="24"/>
        </w:rPr>
        <w:t xml:space="preserve">general partner to </w:t>
      </w:r>
      <w:r w:rsidRPr="009C6C3C">
        <w:rPr>
          <w:rFonts w:ascii="Times New Roman" w:hAnsi="Times New Roman" w:cs="Times New Roman"/>
          <w:sz w:val="24"/>
          <w:szCs w:val="24"/>
        </w:rPr>
        <w:t>serve as such an agent</w:t>
      </w:r>
      <w:r w:rsidR="0055738E" w:rsidRPr="009C6C3C">
        <w:rPr>
          <w:rFonts w:ascii="Times New Roman" w:hAnsi="Times New Roman" w:cs="Times New Roman"/>
          <w:sz w:val="24"/>
          <w:szCs w:val="24"/>
        </w:rPr>
        <w:t xml:space="preserve">.   </w:t>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Second, the partnership agreement should eliminate any right in the limited partner to vote on the question of dissolution.  In the case of an existing partnership, the agreement could be amended to eliminate </w:t>
      </w:r>
      <w:r w:rsidR="009F22BF" w:rsidRPr="009C6C3C">
        <w:rPr>
          <w:rFonts w:ascii="Times New Roman" w:hAnsi="Times New Roman" w:cs="Times New Roman"/>
          <w:sz w:val="24"/>
          <w:szCs w:val="24"/>
        </w:rPr>
        <w:t xml:space="preserve">this </w:t>
      </w:r>
      <w:r w:rsidRPr="009C6C3C">
        <w:rPr>
          <w:rFonts w:ascii="Times New Roman" w:hAnsi="Times New Roman" w:cs="Times New Roman"/>
          <w:sz w:val="24"/>
          <w:szCs w:val="24"/>
        </w:rPr>
        <w:t>right, although exposure under section 2035 would continue for three years after the elimination of the voting right.</w:t>
      </w:r>
      <w:r w:rsidR="009F22BF" w:rsidRPr="009C6C3C">
        <w:rPr>
          <w:rStyle w:val="FootnoteReference"/>
          <w:rFonts w:ascii="Times New Roman" w:hAnsi="Times New Roman" w:cs="Times New Roman"/>
          <w:sz w:val="24"/>
          <w:szCs w:val="24"/>
        </w:rPr>
        <w:footnoteReference w:id="92"/>
      </w:r>
      <w:r w:rsidR="009F22BF" w:rsidRPr="009C6C3C">
        <w:rPr>
          <w:rFonts w:ascii="Times New Roman" w:hAnsi="Times New Roman" w:cs="Times New Roman"/>
          <w:sz w:val="24"/>
          <w:szCs w:val="24"/>
        </w:rPr>
        <w:t xml:space="preserve"> </w:t>
      </w:r>
      <w:r w:rsidRPr="009C6C3C">
        <w:rPr>
          <w:rFonts w:ascii="Times New Roman" w:hAnsi="Times New Roman" w:cs="Times New Roman"/>
          <w:sz w:val="24"/>
          <w:szCs w:val="24"/>
        </w:rPr>
        <w:t xml:space="preserve"> While it is plausible that the elimination of the voting right could be treated as an applicable restriction under section 270</w:t>
      </w:r>
      <w:r w:rsidR="009C25D6" w:rsidRPr="009C6C3C">
        <w:rPr>
          <w:rFonts w:ascii="Times New Roman" w:hAnsi="Times New Roman" w:cs="Times New Roman"/>
          <w:sz w:val="24"/>
          <w:szCs w:val="24"/>
        </w:rPr>
        <w:t>4(b) and therefore disregarded,</w:t>
      </w:r>
      <w:r w:rsidR="009C25D6" w:rsidRPr="009C6C3C">
        <w:rPr>
          <w:rStyle w:val="FootnoteReference"/>
          <w:rFonts w:ascii="Times New Roman" w:hAnsi="Times New Roman" w:cs="Times New Roman"/>
          <w:sz w:val="24"/>
          <w:szCs w:val="24"/>
        </w:rPr>
        <w:footnoteReference w:id="93"/>
      </w:r>
      <w:r w:rsidRPr="009C6C3C">
        <w:rPr>
          <w:rFonts w:ascii="Times New Roman" w:hAnsi="Times New Roman" w:cs="Times New Roman"/>
          <w:sz w:val="24"/>
          <w:szCs w:val="24"/>
        </w:rPr>
        <w:t xml:space="preserve"> this would not permit the IRS to argue that the decedent should be treated as having retained the right for purposes of section 2036(a)(2).</w:t>
      </w:r>
      <w:r w:rsidR="009C25D6" w:rsidRPr="009C6C3C">
        <w:rPr>
          <w:rStyle w:val="FootnoteReference"/>
          <w:rFonts w:ascii="Times New Roman" w:hAnsi="Times New Roman" w:cs="Times New Roman"/>
          <w:sz w:val="24"/>
          <w:szCs w:val="24"/>
        </w:rPr>
        <w:footnoteReference w:id="94"/>
      </w:r>
      <w:r w:rsidRPr="009C6C3C">
        <w:rPr>
          <w:rFonts w:ascii="Times New Roman" w:hAnsi="Times New Roman" w:cs="Times New Roman"/>
          <w:sz w:val="24"/>
          <w:szCs w:val="24"/>
        </w:rPr>
        <w:t xml:space="preserve"> </w:t>
      </w:r>
    </w:p>
    <w:p w:rsidR="00926B59" w:rsidRPr="009C6C3C" w:rsidRDefault="00926B59" w:rsidP="0055738E">
      <w:pPr>
        <w:autoSpaceDE w:val="0"/>
        <w:autoSpaceDN w:val="0"/>
        <w:adjustRightInd w:val="0"/>
        <w:spacing w:after="0" w:line="240" w:lineRule="auto"/>
        <w:rPr>
          <w:rFonts w:ascii="Times New Roman" w:hAnsi="Times New Roman" w:cs="Times New Roman"/>
          <w:sz w:val="24"/>
          <w:szCs w:val="24"/>
        </w:rPr>
      </w:pPr>
    </w:p>
    <w:p w:rsidR="000F7116" w:rsidRPr="009C6C3C" w:rsidRDefault="00926B59"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Third, the use of trusts </w:t>
      </w:r>
      <w:r w:rsidR="001313E6" w:rsidRPr="009C6C3C">
        <w:rPr>
          <w:rFonts w:ascii="Times New Roman" w:hAnsi="Times New Roman" w:cs="Times New Roman"/>
          <w:sz w:val="24"/>
          <w:szCs w:val="24"/>
        </w:rPr>
        <w:t>as the owner of</w:t>
      </w:r>
      <w:r w:rsidRPr="009C6C3C">
        <w:rPr>
          <w:rFonts w:ascii="Times New Roman" w:hAnsi="Times New Roman" w:cs="Times New Roman"/>
          <w:sz w:val="24"/>
          <w:szCs w:val="24"/>
        </w:rPr>
        <w:t xml:space="preserve"> limited partnership interests could be helpful.  </w:t>
      </w:r>
      <w:r w:rsidR="001313E6" w:rsidRPr="009C6C3C">
        <w:rPr>
          <w:rFonts w:ascii="Times New Roman" w:hAnsi="Times New Roman" w:cs="Times New Roman"/>
          <w:sz w:val="24"/>
          <w:szCs w:val="24"/>
        </w:rPr>
        <w:t xml:space="preserve">In </w:t>
      </w:r>
      <w:r w:rsidR="001313E6" w:rsidRPr="009C6C3C">
        <w:rPr>
          <w:rFonts w:ascii="Times New Roman" w:hAnsi="Times New Roman" w:cs="Times New Roman"/>
          <w:i/>
          <w:sz w:val="24"/>
          <w:szCs w:val="24"/>
        </w:rPr>
        <w:t>Byrum</w:t>
      </w:r>
      <w:r w:rsidR="001313E6" w:rsidRPr="009C6C3C">
        <w:rPr>
          <w:rFonts w:ascii="Times New Roman" w:hAnsi="Times New Roman" w:cs="Times New Roman"/>
          <w:sz w:val="24"/>
          <w:szCs w:val="24"/>
        </w:rPr>
        <w:t xml:space="preserve">, a trust owned a minority interest in the corporation.  In finding that the decedent did not have a legally enforceable right, the Court relied on the fact that the corporate trustee had a fiduciary duty to the beneficiaries, </w:t>
      </w:r>
      <w:r w:rsidR="0014398B" w:rsidRPr="009C6C3C">
        <w:rPr>
          <w:rFonts w:ascii="Times New Roman" w:hAnsi="Times New Roman" w:cs="Times New Roman"/>
          <w:sz w:val="24"/>
          <w:szCs w:val="24"/>
        </w:rPr>
        <w:t xml:space="preserve">i.e., </w:t>
      </w:r>
      <w:r w:rsidR="001313E6" w:rsidRPr="009C6C3C">
        <w:rPr>
          <w:rFonts w:ascii="Times New Roman" w:hAnsi="Times New Roman" w:cs="Times New Roman"/>
          <w:sz w:val="24"/>
          <w:szCs w:val="24"/>
        </w:rPr>
        <w:t>the decedent’s descendants, to enforce the decedent’s duties as a controlling stockholder and corporate director.</w:t>
      </w:r>
      <w:r w:rsidR="001313E6" w:rsidRPr="009C6C3C">
        <w:rPr>
          <w:rStyle w:val="FootnoteReference"/>
          <w:rFonts w:ascii="Times New Roman" w:hAnsi="Times New Roman" w:cs="Times New Roman"/>
          <w:sz w:val="24"/>
          <w:szCs w:val="24"/>
        </w:rPr>
        <w:footnoteReference w:id="95"/>
      </w:r>
      <w:r w:rsidR="001313E6" w:rsidRPr="009C6C3C">
        <w:rPr>
          <w:rFonts w:ascii="Times New Roman" w:hAnsi="Times New Roman" w:cs="Times New Roman"/>
          <w:sz w:val="24"/>
          <w:szCs w:val="24"/>
        </w:rPr>
        <w:t xml:space="preserve">  </w:t>
      </w:r>
      <w:r w:rsidR="00221EC9" w:rsidRPr="009C6C3C">
        <w:rPr>
          <w:rFonts w:ascii="Times New Roman" w:hAnsi="Times New Roman" w:cs="Times New Roman"/>
          <w:sz w:val="24"/>
          <w:szCs w:val="24"/>
        </w:rPr>
        <w:t xml:space="preserve">Thus, the presence of a trustee with a duty to enforce the decedent’s fiduciary duties could be effective in undercutting an argument based on </w:t>
      </w:r>
      <w:r w:rsidR="00221EC9" w:rsidRPr="009C6C3C">
        <w:rPr>
          <w:rFonts w:ascii="Times New Roman" w:hAnsi="Times New Roman" w:cs="Times New Roman"/>
          <w:i/>
          <w:sz w:val="24"/>
          <w:szCs w:val="24"/>
        </w:rPr>
        <w:t>Powell</w:t>
      </w:r>
      <w:r w:rsidR="00221EC9" w:rsidRPr="009C6C3C">
        <w:rPr>
          <w:rFonts w:ascii="Times New Roman" w:hAnsi="Times New Roman" w:cs="Times New Roman"/>
          <w:sz w:val="24"/>
          <w:szCs w:val="24"/>
        </w:rPr>
        <w:t xml:space="preserve"> that the decedent’s duties were illusory.  Whether a corporate trustee, or some other independent trustee, would be necessary to support this argument remains unclear.</w:t>
      </w:r>
      <w:r w:rsidR="00FF1F7F" w:rsidRPr="009C6C3C">
        <w:rPr>
          <w:rStyle w:val="FootnoteReference"/>
          <w:rFonts w:ascii="Times New Roman" w:hAnsi="Times New Roman" w:cs="Times New Roman"/>
          <w:sz w:val="24"/>
          <w:szCs w:val="24"/>
        </w:rPr>
        <w:footnoteReference w:id="96"/>
      </w:r>
      <w:r w:rsidR="00221EC9" w:rsidRPr="009C6C3C">
        <w:rPr>
          <w:rFonts w:ascii="Times New Roman" w:hAnsi="Times New Roman" w:cs="Times New Roman"/>
          <w:sz w:val="24"/>
          <w:szCs w:val="24"/>
        </w:rPr>
        <w:t xml:space="preserve">  </w:t>
      </w:r>
    </w:p>
    <w:p w:rsidR="000F7116" w:rsidRPr="009C6C3C" w:rsidRDefault="000F7116" w:rsidP="0055738E">
      <w:pPr>
        <w:autoSpaceDE w:val="0"/>
        <w:autoSpaceDN w:val="0"/>
        <w:adjustRightInd w:val="0"/>
        <w:spacing w:after="0" w:line="240" w:lineRule="auto"/>
        <w:rPr>
          <w:rFonts w:ascii="Times New Roman" w:hAnsi="Times New Roman" w:cs="Times New Roman"/>
          <w:sz w:val="24"/>
          <w:szCs w:val="24"/>
        </w:rPr>
      </w:pPr>
    </w:p>
    <w:p w:rsidR="00926B59" w:rsidRPr="009C6C3C" w:rsidRDefault="00221EC9"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 xml:space="preserve">In </w:t>
      </w:r>
      <w:r w:rsidR="00FF1F7F" w:rsidRPr="009C6C3C">
        <w:rPr>
          <w:rFonts w:ascii="Times New Roman" w:hAnsi="Times New Roman" w:cs="Times New Roman"/>
          <w:sz w:val="24"/>
          <w:szCs w:val="24"/>
        </w:rPr>
        <w:t xml:space="preserve">addition, if </w:t>
      </w:r>
      <w:r w:rsidR="00FF1F7F" w:rsidRPr="009C6C3C">
        <w:rPr>
          <w:rFonts w:ascii="Times New Roman" w:hAnsi="Times New Roman" w:cs="Times New Roman"/>
          <w:i/>
          <w:sz w:val="24"/>
          <w:szCs w:val="24"/>
        </w:rPr>
        <w:t>all</w:t>
      </w:r>
      <w:r w:rsidR="00FF1F7F" w:rsidRPr="009C6C3C">
        <w:rPr>
          <w:rFonts w:ascii="Times New Roman" w:hAnsi="Times New Roman" w:cs="Times New Roman"/>
          <w:sz w:val="24"/>
          <w:szCs w:val="24"/>
        </w:rPr>
        <w:t xml:space="preserve"> </w:t>
      </w:r>
      <w:r w:rsidRPr="009C6C3C">
        <w:rPr>
          <w:rFonts w:ascii="Times New Roman" w:hAnsi="Times New Roman" w:cs="Times New Roman"/>
          <w:sz w:val="24"/>
          <w:szCs w:val="24"/>
        </w:rPr>
        <w:t>of the limited units are held in trust, the estate would have two additional arguments: that the trustee, not the decedent, had the right to vote on dissolution; and that, even if a partnership liquidation were to occur, partnership assets would be distributed to a discretionary trust over which the trustee, not the decedent, could control distributions.</w:t>
      </w:r>
      <w:r w:rsidRPr="009C6C3C">
        <w:rPr>
          <w:rStyle w:val="FootnoteReference"/>
          <w:rFonts w:ascii="Times New Roman" w:hAnsi="Times New Roman" w:cs="Times New Roman"/>
          <w:sz w:val="24"/>
          <w:szCs w:val="24"/>
        </w:rPr>
        <w:footnoteReference w:id="97"/>
      </w:r>
      <w:r w:rsidR="001313E6" w:rsidRPr="009C6C3C">
        <w:rPr>
          <w:rFonts w:ascii="Times New Roman" w:hAnsi="Times New Roman" w:cs="Times New Roman"/>
          <w:sz w:val="24"/>
          <w:szCs w:val="24"/>
        </w:rPr>
        <w:t xml:space="preserve">   </w:t>
      </w:r>
      <w:r w:rsidR="00406487" w:rsidRPr="009C6C3C">
        <w:rPr>
          <w:rFonts w:ascii="Times New Roman" w:hAnsi="Times New Roman" w:cs="Times New Roman"/>
          <w:sz w:val="24"/>
          <w:szCs w:val="24"/>
        </w:rPr>
        <w:t xml:space="preserve">The use of trusts to accomplish these objectives need not entail the making of a taxable gift or </w:t>
      </w:r>
      <w:r w:rsidR="00FF1F7F" w:rsidRPr="009C6C3C">
        <w:rPr>
          <w:rFonts w:ascii="Times New Roman" w:hAnsi="Times New Roman" w:cs="Times New Roman"/>
          <w:sz w:val="24"/>
          <w:szCs w:val="24"/>
        </w:rPr>
        <w:t xml:space="preserve">the </w:t>
      </w:r>
      <w:r w:rsidR="00406487" w:rsidRPr="009C6C3C">
        <w:rPr>
          <w:rFonts w:ascii="Times New Roman" w:hAnsi="Times New Roman" w:cs="Times New Roman"/>
          <w:sz w:val="24"/>
          <w:szCs w:val="24"/>
        </w:rPr>
        <w:t>payment of gift tax.</w:t>
      </w:r>
      <w:r w:rsidR="00406487" w:rsidRPr="009C6C3C">
        <w:rPr>
          <w:rStyle w:val="FootnoteReference"/>
          <w:rFonts w:ascii="Times New Roman" w:hAnsi="Times New Roman" w:cs="Times New Roman"/>
          <w:sz w:val="24"/>
          <w:szCs w:val="24"/>
        </w:rPr>
        <w:footnoteReference w:id="98"/>
      </w:r>
    </w:p>
    <w:p w:rsidR="0055738E" w:rsidRPr="009C6C3C" w:rsidRDefault="0055738E" w:rsidP="0055738E">
      <w:pPr>
        <w:autoSpaceDE w:val="0"/>
        <w:autoSpaceDN w:val="0"/>
        <w:adjustRightInd w:val="0"/>
        <w:spacing w:after="0" w:line="240" w:lineRule="auto"/>
        <w:rPr>
          <w:rFonts w:ascii="Times New Roman" w:hAnsi="Times New Roman" w:cs="Times New Roman"/>
          <w:sz w:val="24"/>
          <w:szCs w:val="24"/>
        </w:rPr>
      </w:pPr>
    </w:p>
    <w:p w:rsidR="0055738E" w:rsidRDefault="001313E6" w:rsidP="0055738E">
      <w:pPr>
        <w:autoSpaceDE w:val="0"/>
        <w:autoSpaceDN w:val="0"/>
        <w:adjustRightInd w:val="0"/>
        <w:spacing w:after="0" w:line="240" w:lineRule="auto"/>
        <w:rPr>
          <w:rFonts w:ascii="Times New Roman" w:hAnsi="Times New Roman" w:cs="Times New Roman"/>
          <w:sz w:val="24"/>
          <w:szCs w:val="24"/>
        </w:rPr>
      </w:pPr>
      <w:r w:rsidRPr="009C6C3C">
        <w:rPr>
          <w:rFonts w:ascii="Times New Roman" w:hAnsi="Times New Roman" w:cs="Times New Roman"/>
          <w:sz w:val="24"/>
          <w:szCs w:val="24"/>
        </w:rPr>
        <w:t>Fourth</w:t>
      </w:r>
      <w:r w:rsidR="0055738E" w:rsidRPr="009C6C3C">
        <w:rPr>
          <w:rFonts w:ascii="Times New Roman" w:hAnsi="Times New Roman" w:cs="Times New Roman"/>
          <w:sz w:val="24"/>
          <w:szCs w:val="24"/>
        </w:rPr>
        <w:t>, less conventional forms of planning might be considered.  For example, the authors have previously suggested that, in the case of a married couple, one spouse can transfer assets to a partnership in which the other spouse is the limited partner.  Even if the bona fide exception is inapplicable because of insufficient non-tax purpose, neither section 2036(a)(1) nor section 2036(a) should apply: When the spouse who makes the transfer dies, neither provision can apply because there was no retention by the transferor of any right or access with respect to the transferred assets; and when the non-transferor spouse (who is the partner) dies, neither provision can apply given that the section is only applicable in the case of a decedent who made the transfer.</w:t>
      </w:r>
      <w:r w:rsidR="00731AAA" w:rsidRPr="009C6C3C">
        <w:rPr>
          <w:rStyle w:val="FootnoteReference"/>
          <w:rFonts w:ascii="Times New Roman" w:hAnsi="Times New Roman" w:cs="Times New Roman"/>
          <w:sz w:val="24"/>
          <w:szCs w:val="24"/>
        </w:rPr>
        <w:footnoteReference w:id="99"/>
      </w:r>
      <w:r w:rsidR="0055738E" w:rsidRPr="009C6C3C">
        <w:rPr>
          <w:rFonts w:ascii="Times New Roman" w:hAnsi="Times New Roman" w:cs="Times New Roman"/>
          <w:sz w:val="24"/>
          <w:szCs w:val="24"/>
        </w:rPr>
        <w:t xml:space="preserve">   </w:t>
      </w:r>
    </w:p>
    <w:p w:rsidR="00962568" w:rsidRDefault="00962568" w:rsidP="0055738E">
      <w:pPr>
        <w:autoSpaceDE w:val="0"/>
        <w:autoSpaceDN w:val="0"/>
        <w:adjustRightInd w:val="0"/>
        <w:spacing w:after="0" w:line="240" w:lineRule="auto"/>
        <w:rPr>
          <w:rFonts w:ascii="Times New Roman" w:hAnsi="Times New Roman" w:cs="Times New Roman"/>
          <w:sz w:val="24"/>
          <w:szCs w:val="24"/>
        </w:rPr>
      </w:pPr>
    </w:p>
    <w:p w:rsidR="00962568" w:rsidRPr="009C6C3C" w:rsidRDefault="00962568" w:rsidP="0055738E">
      <w:pPr>
        <w:autoSpaceDE w:val="0"/>
        <w:autoSpaceDN w:val="0"/>
        <w:adjustRightInd w:val="0"/>
        <w:spacing w:after="0" w:line="240" w:lineRule="auto"/>
        <w:rPr>
          <w:rFonts w:ascii="Times New Roman" w:hAnsi="Times New Roman" w:cs="Times New Roman"/>
          <w:sz w:val="24"/>
          <w:szCs w:val="24"/>
        </w:rPr>
      </w:pPr>
      <w:r w:rsidRPr="00962568">
        <w:rPr>
          <w:rFonts w:ascii="Times New Roman" w:hAnsi="Times New Roman" w:cs="Times New Roman"/>
          <w:sz w:val="24"/>
          <w:szCs w:val="24"/>
        </w:rPr>
        <w:t xml:space="preserve">The decision in </w:t>
      </w:r>
      <w:r w:rsidRPr="00F84235">
        <w:rPr>
          <w:rFonts w:ascii="Times New Roman" w:hAnsi="Times New Roman" w:cs="Times New Roman"/>
          <w:i/>
          <w:sz w:val="24"/>
          <w:szCs w:val="24"/>
        </w:rPr>
        <w:t>Powell</w:t>
      </w:r>
      <w:r w:rsidRPr="00962568">
        <w:rPr>
          <w:rFonts w:ascii="Times New Roman" w:hAnsi="Times New Roman" w:cs="Times New Roman"/>
          <w:sz w:val="24"/>
          <w:szCs w:val="24"/>
        </w:rPr>
        <w:t xml:space="preserve"> will presumably reignite interest in the </w:t>
      </w:r>
      <w:r w:rsidRPr="00F84235">
        <w:rPr>
          <w:rFonts w:ascii="Times New Roman" w:hAnsi="Times New Roman" w:cs="Times New Roman"/>
          <w:i/>
          <w:sz w:val="24"/>
          <w:szCs w:val="24"/>
        </w:rPr>
        <w:t>Strangi</w:t>
      </w:r>
      <w:r w:rsidRPr="00962568">
        <w:rPr>
          <w:rFonts w:ascii="Times New Roman" w:hAnsi="Times New Roman" w:cs="Times New Roman"/>
          <w:sz w:val="24"/>
          <w:szCs w:val="24"/>
        </w:rPr>
        <w:t xml:space="preserve"> court’s application of section 2036(a)(2) in the partnership context.  And while </w:t>
      </w:r>
      <w:r w:rsidRPr="00F84235">
        <w:rPr>
          <w:rFonts w:ascii="Times New Roman" w:hAnsi="Times New Roman" w:cs="Times New Roman"/>
          <w:i/>
          <w:sz w:val="24"/>
          <w:szCs w:val="24"/>
        </w:rPr>
        <w:t>Powell</w:t>
      </w:r>
      <w:r w:rsidRPr="00962568">
        <w:rPr>
          <w:rFonts w:ascii="Times New Roman" w:hAnsi="Times New Roman" w:cs="Times New Roman"/>
          <w:sz w:val="24"/>
          <w:szCs w:val="24"/>
        </w:rPr>
        <w:t xml:space="preserve">, as argued, misreads the bright-line test established by the </w:t>
      </w:r>
      <w:r w:rsidRPr="00F84235">
        <w:rPr>
          <w:rFonts w:ascii="Times New Roman" w:hAnsi="Times New Roman" w:cs="Times New Roman"/>
          <w:i/>
          <w:sz w:val="24"/>
          <w:szCs w:val="24"/>
        </w:rPr>
        <w:t>Byrum</w:t>
      </w:r>
      <w:r w:rsidRPr="00962568">
        <w:rPr>
          <w:rFonts w:ascii="Times New Roman" w:hAnsi="Times New Roman" w:cs="Times New Roman"/>
          <w:sz w:val="24"/>
          <w:szCs w:val="24"/>
        </w:rPr>
        <w:t xml:space="preserve"> majority, practitioners cannot ignore the decision given that fifteen judges endorsed this approach.  With proper planning, the threat that </w:t>
      </w:r>
      <w:r w:rsidRPr="00F84235">
        <w:rPr>
          <w:rFonts w:ascii="Times New Roman" w:hAnsi="Times New Roman" w:cs="Times New Roman"/>
          <w:i/>
          <w:sz w:val="24"/>
          <w:szCs w:val="24"/>
        </w:rPr>
        <w:t>Powell</w:t>
      </w:r>
      <w:r w:rsidRPr="00962568">
        <w:rPr>
          <w:rFonts w:ascii="Times New Roman" w:hAnsi="Times New Roman" w:cs="Times New Roman"/>
          <w:sz w:val="24"/>
          <w:szCs w:val="24"/>
        </w:rPr>
        <w:t xml:space="preserve"> poses can be neutralized.   </w:t>
      </w:r>
    </w:p>
    <w:p w:rsidR="0055738E" w:rsidRDefault="0055738E" w:rsidP="0055738E">
      <w:pPr>
        <w:autoSpaceDE w:val="0"/>
        <w:autoSpaceDN w:val="0"/>
        <w:adjustRightInd w:val="0"/>
        <w:spacing w:after="0" w:line="240" w:lineRule="auto"/>
        <w:rPr>
          <w:rFonts w:ascii="Times New Roman" w:hAnsi="Times New Roman" w:cs="Times New Roman"/>
          <w:sz w:val="24"/>
          <w:szCs w:val="24"/>
        </w:rPr>
      </w:pPr>
    </w:p>
    <w:p w:rsidR="00811B6D" w:rsidRPr="00962568" w:rsidRDefault="00811B6D" w:rsidP="00962568">
      <w:pPr>
        <w:autoSpaceDE w:val="0"/>
        <w:autoSpaceDN w:val="0"/>
        <w:adjustRightInd w:val="0"/>
        <w:spacing w:after="0" w:line="240" w:lineRule="auto"/>
        <w:jc w:val="center"/>
        <w:rPr>
          <w:rFonts w:ascii="Times New Roman" w:hAnsi="Times New Roman" w:cs="Times New Roman"/>
          <w:smallCaps/>
          <w:sz w:val="24"/>
          <w:szCs w:val="24"/>
        </w:rPr>
      </w:pPr>
      <w:r w:rsidRPr="00962568">
        <w:rPr>
          <w:rFonts w:ascii="Times New Roman" w:hAnsi="Times New Roman" w:cs="Times New Roman"/>
          <w:smallCaps/>
          <w:sz w:val="24"/>
          <w:szCs w:val="24"/>
        </w:rPr>
        <w:t>Conclusion</w:t>
      </w:r>
    </w:p>
    <w:p w:rsidR="00811B6D" w:rsidRDefault="00811B6D" w:rsidP="0055738E">
      <w:pPr>
        <w:autoSpaceDE w:val="0"/>
        <w:autoSpaceDN w:val="0"/>
        <w:adjustRightInd w:val="0"/>
        <w:spacing w:after="0" w:line="240" w:lineRule="auto"/>
        <w:rPr>
          <w:rFonts w:ascii="Times New Roman" w:hAnsi="Times New Roman" w:cs="Times New Roman"/>
          <w:sz w:val="24"/>
          <w:szCs w:val="24"/>
        </w:rPr>
      </w:pPr>
    </w:p>
    <w:p w:rsidR="00811B6D" w:rsidRPr="00F84235" w:rsidRDefault="00811B6D" w:rsidP="0055738E">
      <w:pPr>
        <w:autoSpaceDE w:val="0"/>
        <w:autoSpaceDN w:val="0"/>
        <w:adjustRightInd w:val="0"/>
        <w:spacing w:after="0" w:line="240" w:lineRule="auto"/>
        <w:rPr>
          <w:rFonts w:ascii="Times New Roman" w:hAnsi="Times New Roman" w:cs="Times New Roman"/>
          <w:sz w:val="24"/>
          <w:szCs w:val="24"/>
        </w:rPr>
      </w:pPr>
      <w:r w:rsidRPr="00F84235">
        <w:rPr>
          <w:rFonts w:ascii="Times New Roman" w:hAnsi="Times New Roman" w:cs="Times New Roman"/>
          <w:sz w:val="24"/>
          <w:szCs w:val="24"/>
        </w:rPr>
        <w:t xml:space="preserve">As the title of this paper suggests, the application of section 2036 in the partnership setting can be problematic.  First, as the courts have construed the section, the presence of non-tax purpose is irrelevant if it can be established that the decedent did not retain a right or interest within the scope of section 2036(a)(1) or 2036(a)(2).  This, of course, creates the potential for a well-planned partnership to escape the section even where the partnership was formed for the sole purpose of tax minimization.  Second, conventional principles, such as the bright-line rule established in </w:t>
      </w:r>
      <w:r w:rsidRPr="001E6CD7">
        <w:rPr>
          <w:rFonts w:ascii="Times New Roman" w:hAnsi="Times New Roman" w:cs="Times New Roman"/>
          <w:i/>
          <w:sz w:val="24"/>
          <w:szCs w:val="24"/>
        </w:rPr>
        <w:t>Byrum</w:t>
      </w:r>
      <w:r w:rsidRPr="00F84235">
        <w:rPr>
          <w:rFonts w:ascii="Times New Roman" w:hAnsi="Times New Roman" w:cs="Times New Roman"/>
          <w:sz w:val="24"/>
          <w:szCs w:val="24"/>
        </w:rPr>
        <w:t xml:space="preserve">, need to be reshaped, or recast as a standard, to make the section more effective in combating abusive partnerships.  Third, as the divide between the majority and concurring opinions in </w:t>
      </w:r>
      <w:r w:rsidRPr="001E6CD7">
        <w:rPr>
          <w:rFonts w:ascii="Times New Roman" w:hAnsi="Times New Roman" w:cs="Times New Roman"/>
          <w:i/>
          <w:sz w:val="24"/>
          <w:szCs w:val="24"/>
        </w:rPr>
        <w:t>Powell</w:t>
      </w:r>
      <w:r w:rsidRPr="00F84235">
        <w:rPr>
          <w:rFonts w:ascii="Times New Roman" w:hAnsi="Times New Roman" w:cs="Times New Roman"/>
          <w:sz w:val="24"/>
          <w:szCs w:val="24"/>
        </w:rPr>
        <w:t xml:space="preserve"> reflect, application of the provision in the partnership context can create other difficulties – for example, the double-inclusion problem, which produced a disagreement between the two opinions.  Ultimately, while other lines of attack might have been more effective, the courts have made their choice and will be required to continue sorting through the resulting complexity.  </w:t>
      </w:r>
    </w:p>
    <w:p w:rsidR="00ED77C6" w:rsidRPr="00F84235" w:rsidRDefault="00ED77C6">
      <w:pPr>
        <w:rPr>
          <w:rFonts w:ascii="Times New Roman" w:hAnsi="Times New Roman" w:cs="Times New Roman"/>
          <w:sz w:val="24"/>
          <w:szCs w:val="24"/>
        </w:rPr>
      </w:pPr>
    </w:p>
    <w:sectPr w:rsidR="00ED77C6" w:rsidRPr="00F84235" w:rsidSect="0055738E">
      <w:footerReference w:type="default" r:id="rId8"/>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A42" w:rsidRDefault="00133A42" w:rsidP="0055738E">
      <w:pPr>
        <w:spacing w:after="0" w:line="240" w:lineRule="auto"/>
      </w:pPr>
      <w:r>
        <w:separator/>
      </w:r>
    </w:p>
  </w:endnote>
  <w:endnote w:type="continuationSeparator" w:id="0">
    <w:p w:rsidR="00133A42" w:rsidRDefault="00133A42" w:rsidP="0055738E">
      <w:pPr>
        <w:spacing w:after="0" w:line="240" w:lineRule="auto"/>
      </w:pPr>
      <w:r>
        <w:continuationSeparator/>
      </w:r>
    </w:p>
  </w:endnote>
  <w:endnote w:type="continuationNotice" w:id="1">
    <w:p w:rsidR="00133A42" w:rsidRDefault="00133A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449684"/>
      <w:docPartObj>
        <w:docPartGallery w:val="Page Numbers (Bottom of Page)"/>
        <w:docPartUnique/>
      </w:docPartObj>
    </w:sdtPr>
    <w:sdtEndPr>
      <w:rPr>
        <w:noProof/>
      </w:rPr>
    </w:sdtEndPr>
    <w:sdtContent>
      <w:p w:rsidR="001E6CD7" w:rsidRDefault="001E6CD7">
        <w:pPr>
          <w:pStyle w:val="Footer"/>
          <w:jc w:val="center"/>
        </w:pPr>
        <w:r>
          <w:fldChar w:fldCharType="begin"/>
        </w:r>
        <w:r>
          <w:instrText xml:space="preserve"> PAGE   \* MERGEFORMAT </w:instrText>
        </w:r>
        <w:r>
          <w:fldChar w:fldCharType="separate"/>
        </w:r>
        <w:r w:rsidR="00667C50">
          <w:rPr>
            <w:noProof/>
          </w:rPr>
          <w:t>1</w:t>
        </w:r>
        <w:r>
          <w:rPr>
            <w:noProof/>
          </w:rPr>
          <w:fldChar w:fldCharType="end"/>
        </w:r>
      </w:p>
    </w:sdtContent>
  </w:sdt>
  <w:p w:rsidR="00557C76" w:rsidRDefault="00557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A42" w:rsidRDefault="00133A42" w:rsidP="0055738E">
      <w:pPr>
        <w:spacing w:after="0" w:line="240" w:lineRule="auto"/>
      </w:pPr>
      <w:r>
        <w:separator/>
      </w:r>
    </w:p>
  </w:footnote>
  <w:footnote w:type="continuationSeparator" w:id="0">
    <w:p w:rsidR="00133A42" w:rsidRDefault="00133A42" w:rsidP="0055738E">
      <w:pPr>
        <w:spacing w:after="0" w:line="240" w:lineRule="auto"/>
      </w:pPr>
      <w:r>
        <w:continuationSeparator/>
      </w:r>
    </w:p>
  </w:footnote>
  <w:footnote w:type="continuationNotice" w:id="1">
    <w:p w:rsidR="00133A42" w:rsidRDefault="00133A42">
      <w:pPr>
        <w:spacing w:after="0" w:line="240" w:lineRule="auto"/>
      </w:pPr>
    </w:p>
  </w:footnote>
  <w:footnote w:id="2">
    <w:p w:rsidR="00557C76" w:rsidRPr="000C67AC" w:rsidRDefault="00557C76">
      <w:pPr>
        <w:pStyle w:val="FootnoteText"/>
        <w:rPr>
          <w:rFonts w:ascii="Times New Roman" w:hAnsi="Times New Roman" w:cs="Times New Roman"/>
        </w:rPr>
      </w:pPr>
      <w:r w:rsidRPr="000C67AC">
        <w:rPr>
          <w:rStyle w:val="FootnoteReference"/>
          <w:rFonts w:ascii="Times New Roman" w:hAnsi="Times New Roman" w:cs="Times New Roman"/>
        </w:rPr>
        <w:t>*</w:t>
      </w:r>
      <w:r w:rsidRPr="000C67AC">
        <w:rPr>
          <w:rFonts w:ascii="Times New Roman" w:hAnsi="Times New Roman" w:cs="Times New Roman"/>
        </w:rPr>
        <w:t xml:space="preserve"> </w:t>
      </w:r>
      <w:r>
        <w:rPr>
          <w:rFonts w:ascii="Times New Roman" w:hAnsi="Times New Roman" w:cs="Times New Roman"/>
        </w:rPr>
        <w:t xml:space="preserve">Mitchell M. Gans is </w:t>
      </w:r>
      <w:r w:rsidRPr="000C67AC">
        <w:rPr>
          <w:rFonts w:ascii="Times New Roman" w:hAnsi="Times New Roman" w:cs="Times New Roman"/>
        </w:rPr>
        <w:t xml:space="preserve">Professor of Law, </w:t>
      </w:r>
      <w:r>
        <w:rPr>
          <w:rFonts w:ascii="Times New Roman" w:hAnsi="Times New Roman" w:cs="Times New Roman"/>
        </w:rPr>
        <w:t xml:space="preserve">at </w:t>
      </w:r>
      <w:r w:rsidRPr="000C67AC">
        <w:rPr>
          <w:rFonts w:ascii="Times New Roman" w:hAnsi="Times New Roman" w:cs="Times New Roman"/>
        </w:rPr>
        <w:t>Ho</w:t>
      </w:r>
      <w:r>
        <w:rPr>
          <w:rFonts w:ascii="Times New Roman" w:hAnsi="Times New Roman" w:cs="Times New Roman"/>
        </w:rPr>
        <w:t xml:space="preserve">fstra University School of Law, </w:t>
      </w:r>
      <w:r w:rsidRPr="000C67AC">
        <w:rPr>
          <w:rFonts w:ascii="Times New Roman" w:hAnsi="Times New Roman" w:cs="Times New Roman"/>
        </w:rPr>
        <w:t xml:space="preserve">Adjunct Professor of Law </w:t>
      </w:r>
      <w:r>
        <w:rPr>
          <w:rFonts w:ascii="Times New Roman" w:hAnsi="Times New Roman" w:cs="Times New Roman"/>
        </w:rPr>
        <w:t xml:space="preserve">at NYU School of Law, and Academic Editor of the </w:t>
      </w:r>
      <w:r w:rsidRPr="000C67AC">
        <w:rPr>
          <w:rFonts w:ascii="Times New Roman" w:hAnsi="Times New Roman" w:cs="Times New Roman"/>
        </w:rPr>
        <w:t xml:space="preserve">ACTEC Law Journal.  </w:t>
      </w:r>
      <w:bookmarkStart w:id="0" w:name="OLE_LINK19"/>
      <w:r w:rsidRPr="000C67AC">
        <w:rPr>
          <w:rFonts w:ascii="Times New Roman" w:hAnsi="Times New Roman" w:cs="Times New Roman"/>
        </w:rPr>
        <w:t>Jonathan G. Blattmachr is director of estate planning for the Alaska Trust Company and a director of Pioneer Wealth Partners, LLC, a boutique wealth advisor firm in Manhattan.  He is a retired member of Milbank, Tweed, Hadley &amp; McCloy and of the New York, California and New York bars.  He is the author or co-author of eight books and over 500 articles, and has been chair of several committees of the New York and American Bar Associations and the American College of Trust and Estate Counsel.  He is co-developer of Wealth Transfer Planning, a computerized system for lawyers that automatically generates estate planning documents, such as Wills and trusts, and provides specific client advice using a form of artificial intelligence.</w:t>
      </w:r>
      <w:r>
        <w:rPr>
          <w:rFonts w:ascii="Times New Roman" w:hAnsi="Times New Roman" w:cs="Times New Roman"/>
        </w:rPr>
        <w:t xml:space="preserve">  The authors wish to thank Ashleigh Gough, Special Professor of Law at Hofstra University School of Law and Coordinating Editor of the ACTEC Law Journal, for her insight and assistance offered in the preparation of this article.</w:t>
      </w:r>
      <w:r w:rsidRPr="000C67AC">
        <w:rPr>
          <w:rFonts w:ascii="Times New Roman" w:hAnsi="Times New Roman" w:cs="Times New Roman"/>
        </w:rPr>
        <w:t xml:space="preserve">  </w:t>
      </w:r>
      <w:bookmarkEnd w:id="0"/>
    </w:p>
  </w:footnote>
  <w:footnote w:id="3">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bookmarkStart w:id="1" w:name="OLE_LINK45"/>
      <w:bookmarkStart w:id="2" w:name="OLE_LINK46"/>
      <w:bookmarkStart w:id="3" w:name="OLE_LINK109"/>
      <w:r w:rsidRPr="00456F82">
        <w:rPr>
          <w:rFonts w:ascii="Times New Roman" w:hAnsi="Times New Roman" w:cs="Times New Roman"/>
        </w:rPr>
        <w:t>Estate of Powell v. Comm’r, 148 T.C. No. 18</w:t>
      </w:r>
      <w:r>
        <w:rPr>
          <w:rFonts w:ascii="Times New Roman" w:hAnsi="Times New Roman" w:cs="Times New Roman"/>
        </w:rPr>
        <w:t xml:space="preserve">, </w:t>
      </w:r>
      <w:bookmarkStart w:id="4" w:name="OLE_LINK20"/>
      <w:bookmarkStart w:id="5" w:name="OLE_LINK21"/>
      <w:bookmarkStart w:id="6" w:name="OLE_LINK22"/>
      <w:r w:rsidRPr="00B23ACB">
        <w:rPr>
          <w:rFonts w:ascii="Times New Roman" w:hAnsi="Times New Roman" w:cs="Times New Roman"/>
        </w:rPr>
        <w:t>2017 WL 2211398</w:t>
      </w:r>
      <w:r w:rsidRPr="00456F82">
        <w:rPr>
          <w:rFonts w:ascii="Times New Roman" w:hAnsi="Times New Roman" w:cs="Times New Roman"/>
        </w:rPr>
        <w:t xml:space="preserve"> </w:t>
      </w:r>
      <w:bookmarkEnd w:id="4"/>
      <w:bookmarkEnd w:id="5"/>
      <w:bookmarkEnd w:id="6"/>
      <w:r w:rsidRPr="00456F82">
        <w:rPr>
          <w:rFonts w:ascii="Times New Roman" w:hAnsi="Times New Roman" w:cs="Times New Roman"/>
        </w:rPr>
        <w:t>(</w:t>
      </w:r>
      <w:r>
        <w:rPr>
          <w:rFonts w:ascii="Times New Roman" w:hAnsi="Times New Roman" w:cs="Times New Roman"/>
        </w:rPr>
        <w:t xml:space="preserve">T.C. </w:t>
      </w:r>
      <w:r w:rsidRPr="00456F82">
        <w:rPr>
          <w:rFonts w:ascii="Times New Roman" w:hAnsi="Times New Roman" w:cs="Times New Roman"/>
        </w:rPr>
        <w:t>May 18, 2017).</w:t>
      </w:r>
      <w:bookmarkEnd w:id="1"/>
      <w:bookmarkEnd w:id="2"/>
      <w:bookmarkEnd w:id="3"/>
    </w:p>
  </w:footnote>
  <w:footnote w:id="4">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bookmarkStart w:id="7" w:name="OLE_LINK16"/>
      <w:bookmarkStart w:id="8" w:name="OLE_LINK79"/>
      <w:bookmarkStart w:id="9" w:name="OLE_LINK80"/>
      <w:bookmarkStart w:id="10" w:name="OLE_LINK95"/>
      <w:bookmarkStart w:id="11" w:name="OLE_LINK96"/>
      <w:r w:rsidRPr="00456F82">
        <w:rPr>
          <w:rFonts w:ascii="Times New Roman" w:hAnsi="Times New Roman" w:cs="Times New Roman"/>
        </w:rPr>
        <w:t xml:space="preserve">Estate of Strangi v. Comm’r, </w:t>
      </w:r>
      <w:bookmarkStart w:id="12" w:name="OLE_LINK34"/>
      <w:bookmarkStart w:id="13" w:name="OLE_LINK35"/>
      <w:r w:rsidRPr="00456F82">
        <w:rPr>
          <w:rFonts w:ascii="Times New Roman" w:hAnsi="Times New Roman" w:cs="Times New Roman"/>
        </w:rPr>
        <w:t>T.C. Memo. 2003-145</w:t>
      </w:r>
      <w:bookmarkEnd w:id="7"/>
      <w:r w:rsidRPr="00456F82">
        <w:rPr>
          <w:rFonts w:ascii="Times New Roman" w:hAnsi="Times New Roman" w:cs="Times New Roman"/>
        </w:rPr>
        <w:t>, 85 T.C.M. (CCH) 1331 (2003)</w:t>
      </w:r>
      <w:bookmarkEnd w:id="8"/>
      <w:bookmarkEnd w:id="9"/>
      <w:r w:rsidRPr="00456F82">
        <w:rPr>
          <w:rFonts w:ascii="Times New Roman" w:hAnsi="Times New Roman" w:cs="Times New Roman"/>
        </w:rPr>
        <w:t xml:space="preserve">, </w:t>
      </w:r>
      <w:r w:rsidRPr="00456F82">
        <w:rPr>
          <w:rFonts w:ascii="Times New Roman" w:hAnsi="Times New Roman" w:cs="Times New Roman"/>
          <w:i/>
        </w:rPr>
        <w:t>aff’d</w:t>
      </w:r>
      <w:r w:rsidRPr="00456F82">
        <w:rPr>
          <w:rFonts w:ascii="Times New Roman" w:hAnsi="Times New Roman" w:cs="Times New Roman"/>
        </w:rPr>
        <w:t xml:space="preserve"> </w:t>
      </w:r>
      <w:r w:rsidRPr="00456F82">
        <w:rPr>
          <w:rFonts w:ascii="Times New Roman" w:hAnsi="Times New Roman" w:cs="Times New Roman"/>
          <w:i/>
        </w:rPr>
        <w:t>on other grounds</w:t>
      </w:r>
      <w:r w:rsidRPr="00456F82">
        <w:rPr>
          <w:rFonts w:ascii="Times New Roman" w:hAnsi="Times New Roman" w:cs="Times New Roman"/>
        </w:rPr>
        <w:t xml:space="preserve">, </w:t>
      </w:r>
      <w:bookmarkStart w:id="14" w:name="OLE_LINK23"/>
      <w:bookmarkStart w:id="15" w:name="OLE_LINK24"/>
      <w:r w:rsidRPr="00634C47">
        <w:rPr>
          <w:rFonts w:ascii="Times New Roman" w:hAnsi="Times New Roman" w:cs="Times New Roman"/>
        </w:rPr>
        <w:t xml:space="preserve">417 F.3d 468 </w:t>
      </w:r>
      <w:r w:rsidRPr="00456F82">
        <w:rPr>
          <w:rFonts w:ascii="Times New Roman" w:hAnsi="Times New Roman" w:cs="Times New Roman"/>
        </w:rPr>
        <w:t>(5th Cir. 2005)</w:t>
      </w:r>
      <w:bookmarkEnd w:id="12"/>
      <w:bookmarkEnd w:id="13"/>
      <w:bookmarkEnd w:id="14"/>
      <w:bookmarkEnd w:id="15"/>
      <w:r w:rsidRPr="00456F82">
        <w:rPr>
          <w:rFonts w:ascii="Times New Roman" w:hAnsi="Times New Roman" w:cs="Times New Roman"/>
        </w:rPr>
        <w:t>.</w:t>
      </w:r>
      <w:bookmarkEnd w:id="10"/>
      <w:bookmarkEnd w:id="11"/>
    </w:p>
  </w:footnote>
  <w:footnote w:id="5">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bookmarkStart w:id="16" w:name="OLE_LINK49"/>
      <w:r w:rsidRPr="00456F82">
        <w:rPr>
          <w:rFonts w:ascii="Times New Roman" w:hAnsi="Times New Roman" w:cs="Times New Roman"/>
        </w:rPr>
        <w:t>United States v. Byrum, 408 U.S. 125 (1972).</w:t>
      </w:r>
      <w:bookmarkEnd w:id="16"/>
    </w:p>
  </w:footnote>
  <w:footnote w:id="6">
    <w:p w:rsidR="00557C76" w:rsidRPr="00F05D5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Two hospital doctors indicated, on the day before the partnership was funded, that the decedent lacked capacity </w:t>
      </w:r>
      <w:r w:rsidRPr="00F05D52">
        <w:rPr>
          <w:rFonts w:ascii="Times New Roman" w:hAnsi="Times New Roman" w:cs="Times New Roman"/>
        </w:rPr>
        <w:t xml:space="preserve">and “could not act on her own behalf.” </w:t>
      </w:r>
      <w:bookmarkStart w:id="17" w:name="OLE_LINK5"/>
      <w:r w:rsidRPr="00F05D52">
        <w:rPr>
          <w:rFonts w:ascii="Times New Roman" w:hAnsi="Times New Roman" w:cs="Times New Roman"/>
          <w:i/>
        </w:rPr>
        <w:t>Powell</w:t>
      </w:r>
      <w:r w:rsidRPr="00F05D52">
        <w:rPr>
          <w:rFonts w:ascii="Times New Roman" w:hAnsi="Times New Roman" w:cs="Times New Roman"/>
        </w:rPr>
        <w:t>, 2017 WL 2211398, at *2</w:t>
      </w:r>
      <w:bookmarkEnd w:id="17"/>
      <w:r w:rsidRPr="00F05D52">
        <w:rPr>
          <w:rFonts w:ascii="Times New Roman" w:hAnsi="Times New Roman" w:cs="Times New Roman"/>
        </w:rPr>
        <w:t xml:space="preserve">. </w:t>
      </w:r>
    </w:p>
  </w:footnote>
  <w:footnote w:id="7">
    <w:p w:rsidR="00F05D52" w:rsidRPr="00F05D52" w:rsidRDefault="00F05D52">
      <w:pPr>
        <w:pStyle w:val="FootnoteText"/>
        <w:rPr>
          <w:rFonts w:ascii="Times New Roman" w:hAnsi="Times New Roman" w:cs="Times New Roman"/>
          <w:sz w:val="24"/>
          <w:szCs w:val="24"/>
        </w:rPr>
      </w:pPr>
      <w:r w:rsidRPr="00D82701">
        <w:rPr>
          <w:rStyle w:val="FootnoteReference"/>
          <w:rFonts w:ascii="Times New Roman" w:hAnsi="Times New Roman" w:cs="Times New Roman"/>
        </w:rPr>
        <w:footnoteRef/>
      </w:r>
      <w:r w:rsidRPr="00D82701">
        <w:rPr>
          <w:rFonts w:ascii="Times New Roman" w:hAnsi="Times New Roman" w:cs="Times New Roman"/>
        </w:rPr>
        <w:t xml:space="preserve"> A charitable lead annuity trust</w:t>
      </w:r>
      <w:r w:rsidR="00D82701">
        <w:rPr>
          <w:rFonts w:ascii="Times New Roman" w:hAnsi="Times New Roman" w:cs="Times New Roman"/>
        </w:rPr>
        <w:t>, or “CLAT,”</w:t>
      </w:r>
      <w:r w:rsidRPr="00D82701">
        <w:rPr>
          <w:rFonts w:ascii="Times New Roman" w:hAnsi="Times New Roman" w:cs="Times New Roman"/>
        </w:rPr>
        <w:t xml:space="preserve"> is one that provides for annuity payments to be made to charity for a time (either a term of</w:t>
      </w:r>
      <w:r w:rsidRPr="00F05D52">
        <w:rPr>
          <w:rFonts w:ascii="Times New Roman" w:hAnsi="Times New Roman" w:cs="Times New Roman"/>
        </w:rPr>
        <w:t xml:space="preserve"> years or until a measuring life dies), and then for what remains in the trust to pass to or for others who are not necessarily charitable organizations, such as the descendants of the trust’s grantor.  </w:t>
      </w:r>
      <w:r w:rsidR="00D82701">
        <w:rPr>
          <w:rFonts w:ascii="Times New Roman" w:hAnsi="Times New Roman" w:cs="Times New Roman"/>
          <w:i/>
        </w:rPr>
        <w:t xml:space="preserve">See </w:t>
      </w:r>
      <w:r w:rsidR="00D82701">
        <w:rPr>
          <w:rFonts w:ascii="Times New Roman" w:hAnsi="Times New Roman" w:cs="Times New Roman"/>
        </w:rPr>
        <w:t>I.R.C.</w:t>
      </w:r>
      <w:r w:rsidRPr="00F05D52">
        <w:rPr>
          <w:rFonts w:ascii="Times New Roman" w:hAnsi="Times New Roman" w:cs="Times New Roman"/>
        </w:rPr>
        <w:t xml:space="preserve"> </w:t>
      </w:r>
      <w:r w:rsidR="00D82701">
        <w:rPr>
          <w:rFonts w:ascii="Times New Roman" w:hAnsi="Times New Roman" w:cs="Times New Roman"/>
        </w:rPr>
        <w:t xml:space="preserve">§§ </w:t>
      </w:r>
      <w:r w:rsidRPr="00F05D52">
        <w:rPr>
          <w:rFonts w:ascii="Times New Roman" w:hAnsi="Times New Roman" w:cs="Times New Roman"/>
        </w:rPr>
        <w:t>170(f)(2)(</w:t>
      </w:r>
      <w:r w:rsidR="00D82701">
        <w:rPr>
          <w:rFonts w:ascii="Times New Roman" w:hAnsi="Times New Roman" w:cs="Times New Roman"/>
        </w:rPr>
        <w:t xml:space="preserve">B), 2055, </w:t>
      </w:r>
      <w:r w:rsidRPr="00F05D52">
        <w:rPr>
          <w:rFonts w:ascii="Times New Roman" w:hAnsi="Times New Roman" w:cs="Times New Roman"/>
        </w:rPr>
        <w:t>2522.  There is a definition of charitable lead trust for generation-skipping transfer tax purposes under section 2642(e)(3)(A).</w:t>
      </w:r>
      <w:bookmarkStart w:id="18" w:name="LPHit25"/>
      <w:bookmarkEnd w:id="18"/>
      <w:r w:rsidRPr="00F05D52">
        <w:rPr>
          <w:rFonts w:ascii="Times New Roman" w:hAnsi="Times New Roman" w:cs="Times New Roman"/>
        </w:rPr>
        <w:t xml:space="preserve"> Properly structured, a deduction is allowed for income, gift and estate tax purposes for the actuarial value of the interest in the trust committed to charity but, for income tax purposes, only if the trust is a so-called “grantor trust” whose treatment is described in section 671. </w:t>
      </w:r>
      <w:r w:rsidR="00D82701">
        <w:rPr>
          <w:rFonts w:ascii="Times New Roman" w:hAnsi="Times New Roman" w:cs="Times New Roman"/>
        </w:rPr>
        <w:t xml:space="preserve"> </w:t>
      </w:r>
      <w:r w:rsidR="00D82701">
        <w:rPr>
          <w:rFonts w:ascii="Times New Roman" w:hAnsi="Times New Roman" w:cs="Times New Roman"/>
          <w:i/>
        </w:rPr>
        <w:t>See</w:t>
      </w:r>
      <w:r w:rsidRPr="00F05D52">
        <w:rPr>
          <w:rFonts w:ascii="Times New Roman" w:hAnsi="Times New Roman" w:cs="Times New Roman"/>
          <w:i/>
        </w:rPr>
        <w:t xml:space="preserve"> generally</w:t>
      </w:r>
      <w:r w:rsidRPr="00F05D52">
        <w:rPr>
          <w:rFonts w:ascii="Times New Roman" w:hAnsi="Times New Roman" w:cs="Times New Roman"/>
        </w:rPr>
        <w:t>, J</w:t>
      </w:r>
      <w:r w:rsidR="00D82701">
        <w:rPr>
          <w:rFonts w:ascii="Times New Roman" w:hAnsi="Times New Roman" w:cs="Times New Roman"/>
        </w:rPr>
        <w:t>onathan G</w:t>
      </w:r>
      <w:r w:rsidRPr="00F05D52">
        <w:rPr>
          <w:rFonts w:ascii="Times New Roman" w:hAnsi="Times New Roman" w:cs="Times New Roman"/>
        </w:rPr>
        <w:t>. Blattmachr</w:t>
      </w:r>
      <w:r w:rsidR="00D82701">
        <w:rPr>
          <w:rFonts w:ascii="Times New Roman" w:hAnsi="Times New Roman" w:cs="Times New Roman"/>
        </w:rPr>
        <w:t xml:space="preserve">, </w:t>
      </w:r>
      <w:r w:rsidRPr="00D82701">
        <w:rPr>
          <w:rFonts w:ascii="Times New Roman" w:hAnsi="Times New Roman" w:cs="Times New Roman"/>
          <w:i/>
        </w:rPr>
        <w:t>A Primer on Charitable Lead</w:t>
      </w:r>
      <w:r w:rsidR="00D82701" w:rsidRPr="00D82701">
        <w:rPr>
          <w:rFonts w:ascii="Times New Roman" w:hAnsi="Times New Roman" w:cs="Times New Roman"/>
          <w:i/>
        </w:rPr>
        <w:t xml:space="preserve"> Trusts:  Basic Rules and Uses</w:t>
      </w:r>
      <w:r w:rsidR="00D82701">
        <w:rPr>
          <w:rFonts w:ascii="Times New Roman" w:hAnsi="Times New Roman" w:cs="Times New Roman"/>
        </w:rPr>
        <w:t>,</w:t>
      </w:r>
      <w:r w:rsidRPr="00F05D52">
        <w:rPr>
          <w:rFonts w:ascii="Times New Roman" w:hAnsi="Times New Roman" w:cs="Times New Roman"/>
        </w:rPr>
        <w:t xml:space="preserve"> 134 </w:t>
      </w:r>
      <w:r w:rsidRPr="00D82701">
        <w:rPr>
          <w:rFonts w:ascii="Times New Roman" w:hAnsi="Times New Roman" w:cs="Times New Roman"/>
          <w:smallCaps/>
        </w:rPr>
        <w:t>Tr</w:t>
      </w:r>
      <w:r w:rsidR="00D82701" w:rsidRPr="00D82701">
        <w:rPr>
          <w:rFonts w:ascii="Times New Roman" w:hAnsi="Times New Roman" w:cs="Times New Roman"/>
          <w:smallCaps/>
        </w:rPr>
        <w:t>.</w:t>
      </w:r>
      <w:r w:rsidRPr="00D82701">
        <w:rPr>
          <w:rFonts w:ascii="Times New Roman" w:hAnsi="Times New Roman" w:cs="Times New Roman"/>
          <w:smallCaps/>
        </w:rPr>
        <w:t xml:space="preserve"> &amp; Est</w:t>
      </w:r>
      <w:r w:rsidR="00D82701">
        <w:rPr>
          <w:rFonts w:ascii="Times New Roman" w:hAnsi="Times New Roman" w:cs="Times New Roman"/>
        </w:rPr>
        <w:t>., Apr. 1995, at 48.</w:t>
      </w:r>
    </w:p>
  </w:footnote>
  <w:footnote w:id="8">
    <w:p w:rsidR="00557C76" w:rsidRPr="00456F82" w:rsidRDefault="00557C76" w:rsidP="002E4DD7">
      <w:pPr>
        <w:pStyle w:val="FootnoteText"/>
        <w:rPr>
          <w:rFonts w:ascii="Times New Roman" w:hAnsi="Times New Roman" w:cs="Times New Roman"/>
        </w:rPr>
      </w:pPr>
      <w:r w:rsidRPr="00456F82">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 xml:space="preserve">See </w:t>
      </w:r>
      <w:r w:rsidR="00D82701" w:rsidRPr="00F05D52">
        <w:rPr>
          <w:rFonts w:ascii="Times New Roman" w:hAnsi="Times New Roman" w:cs="Times New Roman"/>
          <w:i/>
        </w:rPr>
        <w:t>Powell</w:t>
      </w:r>
      <w:r w:rsidR="00D82701" w:rsidRPr="00F05D52">
        <w:rPr>
          <w:rFonts w:ascii="Times New Roman" w:hAnsi="Times New Roman" w:cs="Times New Roman"/>
        </w:rPr>
        <w:t xml:space="preserve">, 2017 WL 2211398, at </w:t>
      </w:r>
      <w:r w:rsidR="00D82701">
        <w:rPr>
          <w:rFonts w:ascii="Times New Roman" w:hAnsi="Times New Roman" w:cs="Times New Roman"/>
        </w:rPr>
        <w:t>*</w:t>
      </w:r>
      <w:r>
        <w:rPr>
          <w:rFonts w:ascii="Times New Roman" w:hAnsi="Times New Roman" w:cs="Times New Roman"/>
        </w:rPr>
        <w:t xml:space="preserve">4 n.4 </w:t>
      </w:r>
      <w:r w:rsidRPr="00456F82">
        <w:rPr>
          <w:rFonts w:ascii="Times New Roman" w:hAnsi="Times New Roman" w:cs="Times New Roman"/>
        </w:rPr>
        <w:t xml:space="preserve">(indicating that the court intentionally expressed </w:t>
      </w:r>
      <w:r>
        <w:rPr>
          <w:rFonts w:ascii="Times New Roman" w:hAnsi="Times New Roman" w:cs="Times New Roman"/>
        </w:rPr>
        <w:t>no</w:t>
      </w:r>
      <w:r w:rsidRPr="00456F82">
        <w:rPr>
          <w:rFonts w:ascii="Times New Roman" w:hAnsi="Times New Roman" w:cs="Times New Roman"/>
        </w:rPr>
        <w:t xml:space="preserve"> view on the applicability of section 2036(a)(1) or section 2038).</w:t>
      </w:r>
    </w:p>
  </w:footnote>
  <w:footnote w:id="9">
    <w:p w:rsidR="00557C76" w:rsidRPr="00145B17"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Pr>
          <w:rFonts w:ascii="Times New Roman" w:hAnsi="Times New Roman" w:cs="Times New Roman"/>
          <w:i/>
        </w:rPr>
        <w:t xml:space="preserve">Id. </w:t>
      </w:r>
      <w:r>
        <w:rPr>
          <w:rFonts w:ascii="Times New Roman" w:hAnsi="Times New Roman" w:cs="Times New Roman"/>
        </w:rPr>
        <w:t>at *12.</w:t>
      </w:r>
    </w:p>
  </w:footnote>
  <w:footnote w:id="10">
    <w:p w:rsidR="00557C76" w:rsidRPr="00145B17"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Pr>
          <w:rFonts w:ascii="Times New Roman" w:hAnsi="Times New Roman" w:cs="Times New Roman"/>
          <w:i/>
        </w:rPr>
        <w:t xml:space="preserve">Id. </w:t>
      </w:r>
      <w:r>
        <w:rPr>
          <w:rFonts w:ascii="Times New Roman" w:hAnsi="Times New Roman" w:cs="Times New Roman"/>
        </w:rPr>
        <w:t xml:space="preserve">at *5. </w:t>
      </w:r>
    </w:p>
  </w:footnote>
  <w:footnote w:id="11">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Note, however, that a failure to retain sufficient non-partnership assets to pay estate tax can serve as a basis for an implied understanding under section 2036(a)(1). </w:t>
      </w:r>
      <w:r w:rsidRPr="00634C47">
        <w:rPr>
          <w:rFonts w:ascii="Times New Roman" w:hAnsi="Times New Roman" w:cs="Times New Roman"/>
          <w:i/>
        </w:rPr>
        <w:t xml:space="preserve"> See</w:t>
      </w:r>
      <w:r w:rsidRPr="00456F82">
        <w:rPr>
          <w:rFonts w:ascii="Times New Roman" w:hAnsi="Times New Roman" w:cs="Times New Roman"/>
        </w:rPr>
        <w:t xml:space="preserve"> </w:t>
      </w:r>
      <w:bookmarkStart w:id="19" w:name="OLE_LINK12"/>
      <w:bookmarkStart w:id="20" w:name="OLE_LINK13"/>
      <w:r w:rsidRPr="00456F82">
        <w:rPr>
          <w:rFonts w:ascii="Times New Roman" w:hAnsi="Times New Roman" w:cs="Times New Roman"/>
        </w:rPr>
        <w:t>Strangi</w:t>
      </w:r>
      <w:r>
        <w:rPr>
          <w:rFonts w:ascii="Times New Roman" w:hAnsi="Times New Roman" w:cs="Times New Roman"/>
        </w:rPr>
        <w:t xml:space="preserve"> v. Comm’r</w:t>
      </w:r>
      <w:r w:rsidRPr="00456F82">
        <w:rPr>
          <w:rFonts w:ascii="Times New Roman" w:hAnsi="Times New Roman" w:cs="Times New Roman"/>
        </w:rPr>
        <w:t xml:space="preserve">, </w:t>
      </w:r>
      <w:bookmarkStart w:id="21" w:name="OLE_LINK25"/>
      <w:bookmarkStart w:id="22" w:name="OLE_LINK26"/>
      <w:r w:rsidRPr="00456F82">
        <w:rPr>
          <w:rFonts w:ascii="Times New Roman" w:hAnsi="Times New Roman" w:cs="Times New Roman"/>
        </w:rPr>
        <w:t>417 F.3d 468</w:t>
      </w:r>
      <w:bookmarkEnd w:id="21"/>
      <w:bookmarkEnd w:id="22"/>
      <w:r w:rsidRPr="00456F82">
        <w:rPr>
          <w:rFonts w:ascii="Times New Roman" w:hAnsi="Times New Roman" w:cs="Times New Roman"/>
        </w:rPr>
        <w:t>, 477 (</w:t>
      </w:r>
      <w:r>
        <w:rPr>
          <w:rFonts w:ascii="Times New Roman" w:hAnsi="Times New Roman" w:cs="Times New Roman"/>
        </w:rPr>
        <w:t>5th</w:t>
      </w:r>
      <w:r w:rsidRPr="00456F82">
        <w:rPr>
          <w:rFonts w:ascii="Times New Roman" w:hAnsi="Times New Roman" w:cs="Times New Roman"/>
        </w:rPr>
        <w:t xml:space="preserve"> Cir. 2005)</w:t>
      </w:r>
      <w:bookmarkEnd w:id="19"/>
      <w:bookmarkEnd w:id="20"/>
      <w:r>
        <w:rPr>
          <w:rFonts w:ascii="Times New Roman" w:hAnsi="Times New Roman" w:cs="Times New Roman"/>
        </w:rPr>
        <w:t>.</w:t>
      </w:r>
    </w:p>
  </w:footnote>
  <w:footnote w:id="12">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The court’s decision not to consider section 2038 is not surprising given its overlap with section 2036(a)(2).  </w:t>
      </w:r>
      <w:r w:rsidRPr="00602020">
        <w:rPr>
          <w:rFonts w:ascii="Times New Roman" w:hAnsi="Times New Roman" w:cs="Times New Roman"/>
          <w:i/>
        </w:rPr>
        <w:t>See, e.g.</w:t>
      </w:r>
      <w:r w:rsidRPr="00456F82">
        <w:rPr>
          <w:rFonts w:ascii="Times New Roman" w:hAnsi="Times New Roman" w:cs="Times New Roman"/>
        </w:rPr>
        <w:t>, Estate of Wall v. Comm</w:t>
      </w:r>
      <w:r>
        <w:rPr>
          <w:rFonts w:ascii="Times New Roman" w:hAnsi="Times New Roman" w:cs="Times New Roman"/>
        </w:rPr>
        <w:t>’</w:t>
      </w:r>
      <w:r w:rsidRPr="00456F82">
        <w:rPr>
          <w:rFonts w:ascii="Times New Roman" w:hAnsi="Times New Roman" w:cs="Times New Roman"/>
        </w:rPr>
        <w:t>r, 101 T.C. 300, 313-14 (1993).</w:t>
      </w:r>
    </w:p>
  </w:footnote>
  <w:footnote w:id="13">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602020">
        <w:rPr>
          <w:rFonts w:ascii="Times New Roman" w:hAnsi="Times New Roman" w:cs="Times New Roman"/>
          <w:i/>
        </w:rPr>
        <w:t>See also</w:t>
      </w:r>
      <w:r w:rsidRPr="00456F82">
        <w:rPr>
          <w:rFonts w:ascii="Times New Roman" w:hAnsi="Times New Roman" w:cs="Times New Roman"/>
        </w:rPr>
        <w:t xml:space="preserve"> </w:t>
      </w:r>
      <w:bookmarkStart w:id="23" w:name="OLE_LINK36"/>
      <w:bookmarkStart w:id="24" w:name="OLE_LINK37"/>
      <w:bookmarkStart w:id="25" w:name="OLE_LINK38"/>
      <w:r w:rsidRPr="00456F82">
        <w:rPr>
          <w:rFonts w:ascii="Times New Roman" w:hAnsi="Times New Roman" w:cs="Times New Roman"/>
        </w:rPr>
        <w:t>Estate of Hurford v. Comm</w:t>
      </w:r>
      <w:r>
        <w:rPr>
          <w:rFonts w:ascii="Times New Roman" w:hAnsi="Times New Roman" w:cs="Times New Roman"/>
        </w:rPr>
        <w:t>’</w:t>
      </w:r>
      <w:r w:rsidRPr="00456F82">
        <w:rPr>
          <w:rFonts w:ascii="Times New Roman" w:hAnsi="Times New Roman" w:cs="Times New Roman"/>
        </w:rPr>
        <w:t xml:space="preserve">r, </w:t>
      </w:r>
      <w:bookmarkStart w:id="26" w:name="OLE_LINK27"/>
      <w:r w:rsidRPr="00456F82">
        <w:rPr>
          <w:rFonts w:ascii="Times New Roman" w:hAnsi="Times New Roman" w:cs="Times New Roman"/>
        </w:rPr>
        <w:t>T</w:t>
      </w:r>
      <w:r>
        <w:rPr>
          <w:rFonts w:ascii="Times New Roman" w:hAnsi="Times New Roman" w:cs="Times New Roman"/>
        </w:rPr>
        <w:t>.</w:t>
      </w:r>
      <w:r w:rsidRPr="00456F82">
        <w:rPr>
          <w:rFonts w:ascii="Times New Roman" w:hAnsi="Times New Roman" w:cs="Times New Roman"/>
        </w:rPr>
        <w:t>C</w:t>
      </w:r>
      <w:r>
        <w:rPr>
          <w:rFonts w:ascii="Times New Roman" w:hAnsi="Times New Roman" w:cs="Times New Roman"/>
        </w:rPr>
        <w:t>.</w:t>
      </w:r>
      <w:r w:rsidRPr="00456F82">
        <w:rPr>
          <w:rFonts w:ascii="Times New Roman" w:hAnsi="Times New Roman" w:cs="Times New Roman"/>
        </w:rPr>
        <w:t xml:space="preserve"> Memo</w:t>
      </w:r>
      <w:r>
        <w:rPr>
          <w:rFonts w:ascii="Times New Roman" w:hAnsi="Times New Roman" w:cs="Times New Roman"/>
        </w:rPr>
        <w:t>.</w:t>
      </w:r>
      <w:r w:rsidRPr="00456F82">
        <w:rPr>
          <w:rFonts w:ascii="Times New Roman" w:hAnsi="Times New Roman" w:cs="Times New Roman"/>
        </w:rPr>
        <w:t xml:space="preserve"> 2008-278</w:t>
      </w:r>
      <w:r>
        <w:rPr>
          <w:rFonts w:ascii="Times New Roman" w:hAnsi="Times New Roman" w:cs="Times New Roman"/>
        </w:rPr>
        <w:t xml:space="preserve">, </w:t>
      </w:r>
      <w:r w:rsidRPr="00602020">
        <w:rPr>
          <w:rFonts w:ascii="Times New Roman" w:hAnsi="Times New Roman" w:cs="Times New Roman"/>
        </w:rPr>
        <w:t>96 T.C.M. (CCH) 422</w:t>
      </w:r>
      <w:r>
        <w:rPr>
          <w:rFonts w:ascii="Times New Roman" w:hAnsi="Times New Roman" w:cs="Times New Roman"/>
        </w:rPr>
        <w:t xml:space="preserve"> (2008)</w:t>
      </w:r>
      <w:r w:rsidRPr="00456F82">
        <w:rPr>
          <w:rFonts w:ascii="Times New Roman" w:hAnsi="Times New Roman" w:cs="Times New Roman"/>
        </w:rPr>
        <w:t xml:space="preserve"> </w:t>
      </w:r>
      <w:bookmarkEnd w:id="23"/>
      <w:bookmarkEnd w:id="24"/>
      <w:bookmarkEnd w:id="25"/>
      <w:bookmarkEnd w:id="26"/>
      <w:r w:rsidRPr="00456F82">
        <w:rPr>
          <w:rFonts w:ascii="Times New Roman" w:hAnsi="Times New Roman" w:cs="Times New Roman"/>
        </w:rPr>
        <w:t>(section 2035 applicable where tie to assets contributed to the partnership severed by reason of a sale within three years of death).</w:t>
      </w:r>
    </w:p>
  </w:footnote>
  <w:footnote w:id="14">
    <w:p w:rsidR="00D82701" w:rsidRPr="001A6286" w:rsidRDefault="00D82701">
      <w:pPr>
        <w:pStyle w:val="FootnoteText"/>
        <w:rPr>
          <w:rFonts w:ascii="Times New Roman" w:hAnsi="Times New Roman" w:cs="Times New Roman"/>
        </w:rPr>
      </w:pPr>
      <w:r w:rsidRPr="001A6286">
        <w:rPr>
          <w:rStyle w:val="FootnoteReference"/>
          <w:rFonts w:ascii="Times New Roman" w:hAnsi="Times New Roman" w:cs="Times New Roman"/>
        </w:rPr>
        <w:footnoteRef/>
      </w:r>
      <w:r w:rsidRPr="001A6286">
        <w:rPr>
          <w:rFonts w:ascii="Times New Roman" w:hAnsi="Times New Roman" w:cs="Times New Roman"/>
        </w:rPr>
        <w:t xml:space="preserve"> </w:t>
      </w:r>
      <w:bookmarkStart w:id="27" w:name="OLE_LINK2"/>
      <w:bookmarkStart w:id="28" w:name="OLE_LINK3"/>
      <w:r w:rsidRPr="001A6286">
        <w:rPr>
          <w:rFonts w:ascii="Times New Roman" w:hAnsi="Times New Roman" w:cs="Times New Roman"/>
          <w:i/>
        </w:rPr>
        <w:t>See, e.g.</w:t>
      </w:r>
      <w:r w:rsidRPr="001A6286">
        <w:rPr>
          <w:rFonts w:ascii="Times New Roman" w:hAnsi="Times New Roman" w:cs="Times New Roman"/>
        </w:rPr>
        <w:t xml:space="preserve">, </w:t>
      </w:r>
      <w:r w:rsidR="001A6286" w:rsidRPr="001A6286">
        <w:rPr>
          <w:rFonts w:ascii="Times New Roman" w:hAnsi="Times New Roman" w:cs="Times New Roman"/>
        </w:rPr>
        <w:t xml:space="preserve">Estate of Bigelow v. Comm’r, </w:t>
      </w:r>
      <w:bookmarkStart w:id="29" w:name="OLE_LINK11"/>
      <w:bookmarkStart w:id="30" w:name="OLE_LINK39"/>
      <w:bookmarkStart w:id="31" w:name="OLE_LINK61"/>
      <w:r w:rsidR="001A6286" w:rsidRPr="001A6286">
        <w:rPr>
          <w:rFonts w:ascii="Times New Roman" w:hAnsi="Times New Roman" w:cs="Times New Roman"/>
        </w:rPr>
        <w:t xml:space="preserve">503 F.3d 955 </w:t>
      </w:r>
      <w:bookmarkEnd w:id="29"/>
      <w:bookmarkEnd w:id="30"/>
      <w:bookmarkEnd w:id="31"/>
      <w:r w:rsidR="001A6286" w:rsidRPr="001A6286">
        <w:rPr>
          <w:rFonts w:ascii="Times New Roman" w:hAnsi="Times New Roman" w:cs="Times New Roman"/>
        </w:rPr>
        <w:t>(9th Cir. 200</w:t>
      </w:r>
      <w:r w:rsidR="001A6286">
        <w:rPr>
          <w:rFonts w:ascii="Times New Roman" w:hAnsi="Times New Roman" w:cs="Times New Roman"/>
        </w:rPr>
        <w:t>7</w:t>
      </w:r>
      <w:r w:rsidR="001A6286" w:rsidRPr="001A6286">
        <w:rPr>
          <w:rFonts w:ascii="Times New Roman" w:hAnsi="Times New Roman" w:cs="Times New Roman"/>
        </w:rPr>
        <w:t>)</w:t>
      </w:r>
      <w:r w:rsidR="001A6286">
        <w:rPr>
          <w:rFonts w:ascii="Times New Roman" w:hAnsi="Times New Roman" w:cs="Times New Roman"/>
        </w:rPr>
        <w:t xml:space="preserve">; </w:t>
      </w:r>
      <w:r w:rsidR="001A6286" w:rsidRPr="001A6286">
        <w:rPr>
          <w:rFonts w:ascii="Times New Roman" w:hAnsi="Times New Roman" w:cs="Times New Roman"/>
        </w:rPr>
        <w:t xml:space="preserve">Estate of Korby v. Comm’r, </w:t>
      </w:r>
      <w:bookmarkStart w:id="32" w:name="OLE_LINK40"/>
      <w:bookmarkStart w:id="33" w:name="OLE_LINK43"/>
      <w:r w:rsidR="001A6286" w:rsidRPr="001A6286">
        <w:rPr>
          <w:rFonts w:ascii="Times New Roman" w:hAnsi="Times New Roman" w:cs="Times New Roman"/>
        </w:rPr>
        <w:t xml:space="preserve">471 F.3d 848 </w:t>
      </w:r>
      <w:bookmarkEnd w:id="32"/>
      <w:bookmarkEnd w:id="33"/>
      <w:r w:rsidR="001A6286" w:rsidRPr="001A6286">
        <w:rPr>
          <w:rFonts w:ascii="Times New Roman" w:hAnsi="Times New Roman" w:cs="Times New Roman"/>
        </w:rPr>
        <w:t>(8th Cir. 2006)</w:t>
      </w:r>
      <w:r w:rsidR="001A6286">
        <w:rPr>
          <w:rFonts w:ascii="Times New Roman" w:hAnsi="Times New Roman" w:cs="Times New Roman"/>
        </w:rPr>
        <w:t xml:space="preserve">; </w:t>
      </w:r>
      <w:r w:rsidR="001A6286" w:rsidRPr="001A6286">
        <w:rPr>
          <w:rFonts w:ascii="Times New Roman" w:hAnsi="Times New Roman" w:cs="Times New Roman"/>
        </w:rPr>
        <w:t xml:space="preserve">Estate of Abraham v. Comm’r, </w:t>
      </w:r>
      <w:bookmarkStart w:id="34" w:name="OLE_LINK8"/>
      <w:bookmarkStart w:id="35" w:name="OLE_LINK60"/>
      <w:r w:rsidR="001A6286" w:rsidRPr="001A6286">
        <w:rPr>
          <w:rFonts w:ascii="Times New Roman" w:hAnsi="Times New Roman" w:cs="Times New Roman"/>
        </w:rPr>
        <w:t>408 F.3d 26</w:t>
      </w:r>
      <w:bookmarkEnd w:id="34"/>
      <w:bookmarkEnd w:id="35"/>
      <w:r w:rsidR="001A6286" w:rsidRPr="001A6286">
        <w:rPr>
          <w:rFonts w:ascii="Times New Roman" w:hAnsi="Times New Roman" w:cs="Times New Roman"/>
        </w:rPr>
        <w:t xml:space="preserve"> (1st Cir. 2005);</w:t>
      </w:r>
      <w:r w:rsidR="001A6286">
        <w:rPr>
          <w:rFonts w:ascii="Times New Roman" w:hAnsi="Times New Roman" w:cs="Times New Roman"/>
        </w:rPr>
        <w:t xml:space="preserve"> </w:t>
      </w:r>
      <w:r w:rsidRPr="001A6286">
        <w:rPr>
          <w:rFonts w:ascii="Times New Roman" w:hAnsi="Times New Roman" w:cs="Times New Roman"/>
          <w:iCs/>
        </w:rPr>
        <w:t>Estate of Thompson v. Comm’r</w:t>
      </w:r>
      <w:r w:rsidRPr="001A6286">
        <w:rPr>
          <w:rFonts w:ascii="Times New Roman" w:hAnsi="Times New Roman" w:cs="Times New Roman"/>
        </w:rPr>
        <w:t>,</w:t>
      </w:r>
      <w:r w:rsidRPr="001A6286">
        <w:rPr>
          <w:rFonts w:ascii="Times New Roman" w:hAnsi="Times New Roman" w:cs="Times New Roman"/>
          <w:i/>
          <w:iCs/>
        </w:rPr>
        <w:t xml:space="preserve"> </w:t>
      </w:r>
      <w:bookmarkStart w:id="36" w:name="OLE_LINK6"/>
      <w:bookmarkStart w:id="37" w:name="OLE_LINK7"/>
      <w:r w:rsidRPr="001A6286">
        <w:rPr>
          <w:rFonts w:ascii="Times New Roman" w:hAnsi="Times New Roman" w:cs="Times New Roman"/>
        </w:rPr>
        <w:t xml:space="preserve">382 F.3d 367 </w:t>
      </w:r>
      <w:bookmarkEnd w:id="36"/>
      <w:bookmarkEnd w:id="37"/>
      <w:r w:rsidRPr="001A6286">
        <w:rPr>
          <w:rFonts w:ascii="Times New Roman" w:hAnsi="Times New Roman" w:cs="Times New Roman"/>
        </w:rPr>
        <w:t xml:space="preserve">(3rd Cir. 2004); </w:t>
      </w:r>
      <w:r w:rsidRPr="001A6286">
        <w:rPr>
          <w:rFonts w:ascii="Times New Roman" w:hAnsi="Times New Roman" w:cs="Times New Roman"/>
          <w:i/>
        </w:rPr>
        <w:t>but see</w:t>
      </w:r>
      <w:r w:rsidRPr="001A6286">
        <w:rPr>
          <w:rFonts w:ascii="Times New Roman" w:hAnsi="Times New Roman" w:cs="Times New Roman"/>
        </w:rPr>
        <w:t xml:space="preserve"> </w:t>
      </w:r>
      <w:r w:rsidR="001A6286">
        <w:rPr>
          <w:rFonts w:ascii="Times New Roman" w:hAnsi="Times New Roman" w:cs="Times New Roman"/>
        </w:rPr>
        <w:t xml:space="preserve">Estate of </w:t>
      </w:r>
      <w:r w:rsidRPr="001A6286">
        <w:rPr>
          <w:rFonts w:ascii="Times New Roman" w:hAnsi="Times New Roman" w:cs="Times New Roman"/>
        </w:rPr>
        <w:t>Bongard v. Comm</w:t>
      </w:r>
      <w:r w:rsidR="001A6286" w:rsidRPr="001A6286">
        <w:rPr>
          <w:rFonts w:ascii="Times New Roman" w:hAnsi="Times New Roman" w:cs="Times New Roman"/>
        </w:rPr>
        <w:t>’</w:t>
      </w:r>
      <w:r w:rsidRPr="001A6286">
        <w:rPr>
          <w:rFonts w:ascii="Times New Roman" w:hAnsi="Times New Roman" w:cs="Times New Roman"/>
        </w:rPr>
        <w:t xml:space="preserve">r, </w:t>
      </w:r>
      <w:bookmarkStart w:id="38" w:name="OLE_LINK44"/>
      <w:bookmarkStart w:id="39" w:name="OLE_LINK57"/>
      <w:r w:rsidRPr="001A6286">
        <w:rPr>
          <w:rFonts w:ascii="Times New Roman" w:hAnsi="Times New Roman" w:cs="Times New Roman"/>
        </w:rPr>
        <w:t xml:space="preserve">124 T.C. 95 </w:t>
      </w:r>
      <w:bookmarkEnd w:id="38"/>
      <w:bookmarkEnd w:id="39"/>
      <w:r w:rsidRPr="001A6286">
        <w:rPr>
          <w:rFonts w:ascii="Times New Roman" w:hAnsi="Times New Roman" w:cs="Times New Roman"/>
        </w:rPr>
        <w:t xml:space="preserve">(2005), </w:t>
      </w:r>
      <w:r w:rsidRPr="001A6286">
        <w:rPr>
          <w:rFonts w:ascii="Times New Roman" w:hAnsi="Times New Roman" w:cs="Times New Roman"/>
          <w:i/>
        </w:rPr>
        <w:t>and</w:t>
      </w:r>
      <w:r w:rsidRPr="001A6286">
        <w:rPr>
          <w:rFonts w:ascii="Times New Roman" w:hAnsi="Times New Roman" w:cs="Times New Roman"/>
        </w:rPr>
        <w:t xml:space="preserve"> Estate of Turner v. Comm</w:t>
      </w:r>
      <w:r w:rsidR="001A6286">
        <w:rPr>
          <w:rFonts w:ascii="Times New Roman" w:hAnsi="Times New Roman" w:cs="Times New Roman"/>
        </w:rPr>
        <w:t>’</w:t>
      </w:r>
      <w:r w:rsidRPr="001A6286">
        <w:rPr>
          <w:rFonts w:ascii="Times New Roman" w:hAnsi="Times New Roman" w:cs="Times New Roman"/>
        </w:rPr>
        <w:t xml:space="preserve">r, </w:t>
      </w:r>
      <w:bookmarkStart w:id="40" w:name="OLE_LINK67"/>
      <w:r w:rsidR="001A6286" w:rsidRPr="001A6286">
        <w:rPr>
          <w:rFonts w:ascii="Times New Roman" w:hAnsi="Times New Roman" w:cs="Times New Roman"/>
        </w:rPr>
        <w:t>T.C. Memo. 2011-209</w:t>
      </w:r>
      <w:bookmarkEnd w:id="40"/>
      <w:r w:rsidR="001A6286" w:rsidRPr="001A6286">
        <w:rPr>
          <w:rFonts w:ascii="Times New Roman" w:hAnsi="Times New Roman" w:cs="Times New Roman"/>
        </w:rPr>
        <w:t xml:space="preserve">, 102 T.C.M. (CCH) 214 </w:t>
      </w:r>
      <w:r w:rsidRPr="001A6286">
        <w:rPr>
          <w:rFonts w:ascii="Times New Roman" w:hAnsi="Times New Roman" w:cs="Times New Roman"/>
        </w:rPr>
        <w:t>(2011).</w:t>
      </w:r>
      <w:bookmarkEnd w:id="27"/>
      <w:bookmarkEnd w:id="28"/>
    </w:p>
  </w:footnote>
  <w:footnote w:id="15">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bookmarkStart w:id="41" w:name="OLE_LINK76"/>
      <w:bookmarkStart w:id="42" w:name="OLE_LINK17"/>
      <w:bookmarkStart w:id="43" w:name="OLE_LINK18"/>
      <w:r w:rsidRPr="00456F82">
        <w:rPr>
          <w:rFonts w:ascii="Times New Roman" w:hAnsi="Times New Roman" w:cs="Times New Roman"/>
        </w:rPr>
        <w:t xml:space="preserve">408 U.S. 125 </w:t>
      </w:r>
      <w:bookmarkEnd w:id="41"/>
      <w:r w:rsidRPr="00456F82">
        <w:rPr>
          <w:rFonts w:ascii="Times New Roman" w:hAnsi="Times New Roman" w:cs="Times New Roman"/>
        </w:rPr>
        <w:t>(1972).</w:t>
      </w:r>
      <w:bookmarkEnd w:id="42"/>
      <w:bookmarkEnd w:id="43"/>
    </w:p>
  </w:footnote>
  <w:footnote w:id="16">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602020">
        <w:rPr>
          <w:rFonts w:ascii="Times New Roman" w:hAnsi="Times New Roman" w:cs="Times New Roman"/>
          <w:i/>
        </w:rPr>
        <w:t>See Wall</w:t>
      </w:r>
      <w:r w:rsidRPr="00456F82">
        <w:rPr>
          <w:rFonts w:ascii="Times New Roman" w:hAnsi="Times New Roman" w:cs="Times New Roman"/>
        </w:rPr>
        <w:t xml:space="preserve">, 101 T.C. </w:t>
      </w:r>
      <w:r>
        <w:rPr>
          <w:rFonts w:ascii="Times New Roman" w:hAnsi="Times New Roman" w:cs="Times New Roman"/>
        </w:rPr>
        <w:t>at 313-14</w:t>
      </w:r>
      <w:r w:rsidRPr="00456F82">
        <w:rPr>
          <w:rFonts w:ascii="Times New Roman" w:hAnsi="Times New Roman" w:cs="Times New Roman"/>
        </w:rPr>
        <w:t xml:space="preserve">.  </w:t>
      </w:r>
      <w:r w:rsidRPr="00602020">
        <w:rPr>
          <w:rFonts w:ascii="Times New Roman" w:hAnsi="Times New Roman" w:cs="Times New Roman"/>
        </w:rPr>
        <w:t xml:space="preserve">The IRS itself agreed with this reading.  </w:t>
      </w:r>
      <w:bookmarkStart w:id="44" w:name="OLE_LINK50"/>
      <w:bookmarkStart w:id="45" w:name="OLE_LINK51"/>
      <w:bookmarkStart w:id="46" w:name="OLE_LINK52"/>
      <w:r>
        <w:rPr>
          <w:rFonts w:ascii="Times New Roman" w:hAnsi="Times New Roman" w:cs="Times New Roman"/>
          <w:i/>
        </w:rPr>
        <w:t xml:space="preserve">See </w:t>
      </w:r>
      <w:bookmarkStart w:id="47" w:name="OLE_LINK28"/>
      <w:bookmarkStart w:id="48" w:name="OLE_LINK29"/>
      <w:r>
        <w:rPr>
          <w:rFonts w:ascii="Times New Roman" w:hAnsi="Times New Roman" w:cs="Times New Roman"/>
        </w:rPr>
        <w:t>PLR 9415</w:t>
      </w:r>
      <w:r w:rsidRPr="00602020">
        <w:rPr>
          <w:rFonts w:ascii="Times New Roman" w:hAnsi="Times New Roman" w:cs="Times New Roman"/>
        </w:rPr>
        <w:t xml:space="preserve">007 </w:t>
      </w:r>
      <w:bookmarkEnd w:id="47"/>
      <w:bookmarkEnd w:id="48"/>
      <w:r w:rsidRPr="00602020">
        <w:rPr>
          <w:rFonts w:ascii="Times New Roman" w:hAnsi="Times New Roman" w:cs="Times New Roman"/>
        </w:rPr>
        <w:t>(Ap</w:t>
      </w:r>
      <w:r>
        <w:rPr>
          <w:rFonts w:ascii="Times New Roman" w:hAnsi="Times New Roman" w:cs="Times New Roman"/>
        </w:rPr>
        <w:t>r.</w:t>
      </w:r>
      <w:r w:rsidRPr="00602020">
        <w:rPr>
          <w:rFonts w:ascii="Times New Roman" w:hAnsi="Times New Roman" w:cs="Times New Roman"/>
        </w:rPr>
        <w:t xml:space="preserve"> 15, 1994); </w:t>
      </w:r>
      <w:bookmarkStart w:id="49" w:name="OLE_LINK30"/>
      <w:bookmarkStart w:id="50" w:name="OLE_LINK31"/>
      <w:r>
        <w:rPr>
          <w:rFonts w:ascii="Times New Roman" w:hAnsi="Times New Roman" w:cs="Times New Roman"/>
        </w:rPr>
        <w:t>PLR</w:t>
      </w:r>
      <w:r w:rsidRPr="00602020">
        <w:rPr>
          <w:rFonts w:ascii="Times New Roman" w:hAnsi="Times New Roman" w:cs="Times New Roman"/>
        </w:rPr>
        <w:t xml:space="preserve"> 9310039</w:t>
      </w:r>
      <w:bookmarkEnd w:id="49"/>
      <w:bookmarkEnd w:id="50"/>
      <w:r>
        <w:rPr>
          <w:rFonts w:ascii="Times New Roman" w:hAnsi="Times New Roman" w:cs="Times New Roman"/>
        </w:rPr>
        <w:t xml:space="preserve"> (Mar.</w:t>
      </w:r>
      <w:r w:rsidRPr="00602020">
        <w:rPr>
          <w:rFonts w:ascii="Times New Roman" w:hAnsi="Times New Roman" w:cs="Times New Roman"/>
        </w:rPr>
        <w:t xml:space="preserve"> 12, 1993); </w:t>
      </w:r>
      <w:bookmarkStart w:id="51" w:name="OLE_LINK32"/>
      <w:bookmarkStart w:id="52" w:name="OLE_LINK33"/>
      <w:r>
        <w:rPr>
          <w:rFonts w:ascii="Times New Roman" w:hAnsi="Times New Roman" w:cs="Times New Roman"/>
        </w:rPr>
        <w:t>TAM 9131</w:t>
      </w:r>
      <w:r w:rsidRPr="00602020">
        <w:rPr>
          <w:rFonts w:ascii="Times New Roman" w:hAnsi="Times New Roman" w:cs="Times New Roman"/>
        </w:rPr>
        <w:t xml:space="preserve">006 </w:t>
      </w:r>
      <w:bookmarkEnd w:id="51"/>
      <w:bookmarkEnd w:id="52"/>
      <w:r w:rsidRPr="00602020">
        <w:rPr>
          <w:rFonts w:ascii="Times New Roman" w:hAnsi="Times New Roman" w:cs="Times New Roman"/>
        </w:rPr>
        <w:t>(Au</w:t>
      </w:r>
      <w:r>
        <w:rPr>
          <w:rFonts w:ascii="Times New Roman" w:hAnsi="Times New Roman" w:cs="Times New Roman"/>
        </w:rPr>
        <w:t>g.</w:t>
      </w:r>
      <w:r w:rsidRPr="00602020">
        <w:rPr>
          <w:rFonts w:ascii="Times New Roman" w:hAnsi="Times New Roman" w:cs="Times New Roman"/>
        </w:rPr>
        <w:t xml:space="preserve"> 2, 1991)</w:t>
      </w:r>
      <w:bookmarkEnd w:id="44"/>
      <w:bookmarkEnd w:id="45"/>
      <w:bookmarkEnd w:id="46"/>
      <w:r w:rsidRPr="00602020">
        <w:rPr>
          <w:rFonts w:ascii="Times New Roman" w:hAnsi="Times New Roman" w:cs="Times New Roman"/>
        </w:rPr>
        <w:t>.</w:t>
      </w:r>
      <w:r w:rsidRPr="00456F82">
        <w:rPr>
          <w:rFonts w:ascii="Times New Roman" w:hAnsi="Times New Roman" w:cs="Times New Roman"/>
        </w:rPr>
        <w:t xml:space="preserve">   </w:t>
      </w:r>
    </w:p>
  </w:footnote>
  <w:footnote w:id="17">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602020">
        <w:rPr>
          <w:rFonts w:ascii="Times New Roman" w:hAnsi="Times New Roman" w:cs="Times New Roman"/>
          <w:i/>
        </w:rPr>
        <w:t>See, e.g.</w:t>
      </w:r>
      <w:r w:rsidRPr="00456F82">
        <w:rPr>
          <w:rFonts w:ascii="Times New Roman" w:hAnsi="Times New Roman" w:cs="Times New Roman"/>
        </w:rPr>
        <w:t xml:space="preserve">, </w:t>
      </w:r>
      <w:r w:rsidRPr="00602020">
        <w:rPr>
          <w:rFonts w:ascii="Times New Roman" w:hAnsi="Times New Roman" w:cs="Times New Roman"/>
          <w:i/>
        </w:rPr>
        <w:t>Strangi</w:t>
      </w:r>
      <w:r w:rsidRPr="00456F82">
        <w:rPr>
          <w:rFonts w:ascii="Times New Roman" w:hAnsi="Times New Roman" w:cs="Times New Roman"/>
        </w:rPr>
        <w:t>, 468 F.3d at 477-78.</w:t>
      </w:r>
    </w:p>
  </w:footnote>
  <w:footnote w:id="18">
    <w:p w:rsidR="00557C76" w:rsidRPr="00456F82" w:rsidRDefault="00557C76" w:rsidP="00D060C1">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bookmarkStart w:id="53" w:name="_Hlk485046126"/>
      <w:r w:rsidRPr="00456F82">
        <w:rPr>
          <w:rFonts w:ascii="Times New Roman" w:hAnsi="Times New Roman" w:cs="Times New Roman"/>
        </w:rPr>
        <w:t xml:space="preserve">For a less conventional application of section 2036(a)(1) in the partnership context, see </w:t>
      </w:r>
      <w:r w:rsidRPr="00456F82">
        <w:rPr>
          <w:rFonts w:ascii="Times New Roman" w:hAnsi="Times New Roman" w:cs="Times New Roman"/>
          <w:i/>
        </w:rPr>
        <w:t>Estate of Bongard v. Commissioner</w:t>
      </w:r>
      <w:r w:rsidRPr="00456F82">
        <w:rPr>
          <w:rFonts w:ascii="Times New Roman" w:hAnsi="Times New Roman" w:cs="Times New Roman"/>
        </w:rPr>
        <w:t>, 124 T.C. 95 (2005)</w:t>
      </w:r>
      <w:bookmarkEnd w:id="53"/>
      <w:r w:rsidRPr="00456F82">
        <w:rPr>
          <w:rFonts w:ascii="Times New Roman" w:hAnsi="Times New Roman" w:cs="Times New Roman"/>
        </w:rPr>
        <w:t>.</w:t>
      </w:r>
    </w:p>
  </w:footnote>
  <w:footnote w:id="19">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Pr>
          <w:rFonts w:ascii="Times New Roman" w:hAnsi="Times New Roman" w:cs="Times New Roman"/>
        </w:rPr>
        <w:t xml:space="preserve"> </w:t>
      </w:r>
      <w:r w:rsidRPr="00456F82">
        <w:rPr>
          <w:rFonts w:ascii="Times New Roman" w:hAnsi="Times New Roman" w:cs="Times New Roman"/>
        </w:rPr>
        <w:t xml:space="preserve">T.C. Memo. 2003-145, 85 T.C.M. (CCH) 1331 (2003), </w:t>
      </w:r>
      <w:r w:rsidRPr="00456F82">
        <w:rPr>
          <w:rFonts w:ascii="Times New Roman" w:hAnsi="Times New Roman" w:cs="Times New Roman"/>
          <w:i/>
        </w:rPr>
        <w:t>aff’d</w:t>
      </w:r>
      <w:r w:rsidRPr="00456F82">
        <w:rPr>
          <w:rFonts w:ascii="Times New Roman" w:hAnsi="Times New Roman" w:cs="Times New Roman"/>
        </w:rPr>
        <w:t xml:space="preserve"> </w:t>
      </w:r>
      <w:r w:rsidRPr="00456F82">
        <w:rPr>
          <w:rFonts w:ascii="Times New Roman" w:hAnsi="Times New Roman" w:cs="Times New Roman"/>
          <w:i/>
        </w:rPr>
        <w:t>on other grounds</w:t>
      </w:r>
      <w:r w:rsidRPr="00456F82">
        <w:rPr>
          <w:rFonts w:ascii="Times New Roman" w:hAnsi="Times New Roman" w:cs="Times New Roman"/>
        </w:rPr>
        <w:t xml:space="preserve">, </w:t>
      </w:r>
      <w:bookmarkStart w:id="55" w:name="OLE_LINK41"/>
      <w:bookmarkStart w:id="56" w:name="OLE_LINK42"/>
      <w:r w:rsidRPr="00634C47">
        <w:rPr>
          <w:rFonts w:ascii="Times New Roman" w:hAnsi="Times New Roman" w:cs="Times New Roman"/>
        </w:rPr>
        <w:t xml:space="preserve">417 F.3d </w:t>
      </w:r>
      <w:bookmarkEnd w:id="55"/>
      <w:bookmarkEnd w:id="56"/>
      <w:r w:rsidRPr="00634C47">
        <w:rPr>
          <w:rFonts w:ascii="Times New Roman" w:hAnsi="Times New Roman" w:cs="Times New Roman"/>
        </w:rPr>
        <w:t xml:space="preserve">468 </w:t>
      </w:r>
      <w:r w:rsidRPr="00456F82">
        <w:rPr>
          <w:rFonts w:ascii="Times New Roman" w:hAnsi="Times New Roman" w:cs="Times New Roman"/>
        </w:rPr>
        <w:t>(5th Cir. 2005)</w:t>
      </w:r>
      <w:bookmarkStart w:id="57" w:name="OLE_LINK14"/>
      <w:bookmarkStart w:id="58" w:name="OLE_LINK15"/>
      <w:r w:rsidRPr="00456F82">
        <w:rPr>
          <w:rFonts w:ascii="Times New Roman" w:hAnsi="Times New Roman" w:cs="Times New Roman"/>
        </w:rPr>
        <w:t>.</w:t>
      </w:r>
      <w:bookmarkEnd w:id="57"/>
      <w:bookmarkEnd w:id="58"/>
    </w:p>
  </w:footnote>
  <w:footnote w:id="20">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CB2C8A">
        <w:rPr>
          <w:rFonts w:ascii="Times New Roman" w:hAnsi="Times New Roman" w:cs="Times New Roman"/>
          <w:i/>
        </w:rPr>
        <w:t>Strangi</w:t>
      </w:r>
      <w:r>
        <w:rPr>
          <w:rFonts w:ascii="Times New Roman" w:hAnsi="Times New Roman" w:cs="Times New Roman"/>
        </w:rPr>
        <w:t xml:space="preserve">, </w:t>
      </w:r>
      <w:r w:rsidRPr="00634C47">
        <w:rPr>
          <w:rFonts w:ascii="Times New Roman" w:hAnsi="Times New Roman" w:cs="Times New Roman"/>
        </w:rPr>
        <w:t xml:space="preserve">417 F.3d </w:t>
      </w:r>
      <w:r>
        <w:rPr>
          <w:rFonts w:ascii="Times New Roman" w:hAnsi="Times New Roman" w:cs="Times New Roman"/>
        </w:rPr>
        <w:t xml:space="preserve">at 478 n.7.  </w:t>
      </w:r>
      <w:r>
        <w:rPr>
          <w:rFonts w:ascii="Times New Roman" w:hAnsi="Times New Roman" w:cs="Times New Roman"/>
          <w:i/>
        </w:rPr>
        <w:t xml:space="preserve">But see </w:t>
      </w:r>
      <w:r w:rsidRPr="00456F82">
        <w:rPr>
          <w:rFonts w:ascii="Times New Roman" w:hAnsi="Times New Roman" w:cs="Times New Roman"/>
        </w:rPr>
        <w:t>Estate of Hurford v. Comm</w:t>
      </w:r>
      <w:r>
        <w:rPr>
          <w:rFonts w:ascii="Times New Roman" w:hAnsi="Times New Roman" w:cs="Times New Roman"/>
        </w:rPr>
        <w:t>’</w:t>
      </w:r>
      <w:r w:rsidRPr="00456F82">
        <w:rPr>
          <w:rFonts w:ascii="Times New Roman" w:hAnsi="Times New Roman" w:cs="Times New Roman"/>
        </w:rPr>
        <w:t>r, T</w:t>
      </w:r>
      <w:r>
        <w:rPr>
          <w:rFonts w:ascii="Times New Roman" w:hAnsi="Times New Roman" w:cs="Times New Roman"/>
        </w:rPr>
        <w:t>.</w:t>
      </w:r>
      <w:r w:rsidRPr="00456F82">
        <w:rPr>
          <w:rFonts w:ascii="Times New Roman" w:hAnsi="Times New Roman" w:cs="Times New Roman"/>
        </w:rPr>
        <w:t>C</w:t>
      </w:r>
      <w:r>
        <w:rPr>
          <w:rFonts w:ascii="Times New Roman" w:hAnsi="Times New Roman" w:cs="Times New Roman"/>
        </w:rPr>
        <w:t>.</w:t>
      </w:r>
      <w:r w:rsidRPr="00456F82">
        <w:rPr>
          <w:rFonts w:ascii="Times New Roman" w:hAnsi="Times New Roman" w:cs="Times New Roman"/>
        </w:rPr>
        <w:t xml:space="preserve"> Memo</w:t>
      </w:r>
      <w:r>
        <w:rPr>
          <w:rFonts w:ascii="Times New Roman" w:hAnsi="Times New Roman" w:cs="Times New Roman"/>
        </w:rPr>
        <w:t>.</w:t>
      </w:r>
      <w:r w:rsidRPr="00456F82">
        <w:rPr>
          <w:rFonts w:ascii="Times New Roman" w:hAnsi="Times New Roman" w:cs="Times New Roman"/>
        </w:rPr>
        <w:t xml:space="preserve"> 2008-278</w:t>
      </w:r>
      <w:r>
        <w:rPr>
          <w:rFonts w:ascii="Times New Roman" w:hAnsi="Times New Roman" w:cs="Times New Roman"/>
        </w:rPr>
        <w:t xml:space="preserve">, </w:t>
      </w:r>
      <w:r w:rsidRPr="00602020">
        <w:rPr>
          <w:rFonts w:ascii="Times New Roman" w:hAnsi="Times New Roman" w:cs="Times New Roman"/>
        </w:rPr>
        <w:t>96 T.C.M. (CCH) 422</w:t>
      </w:r>
      <w:r>
        <w:rPr>
          <w:rFonts w:ascii="Times New Roman" w:hAnsi="Times New Roman" w:cs="Times New Roman"/>
        </w:rPr>
        <w:t xml:space="preserve"> (2008)</w:t>
      </w:r>
      <w:r w:rsidRPr="00456F82">
        <w:rPr>
          <w:rFonts w:ascii="Times New Roman" w:hAnsi="Times New Roman" w:cs="Times New Roman"/>
        </w:rPr>
        <w:t xml:space="preserve"> (applying section 2036(a)(2) in the partnership context</w:t>
      </w:r>
      <w:r>
        <w:rPr>
          <w:rFonts w:ascii="Times New Roman" w:hAnsi="Times New Roman" w:cs="Times New Roman"/>
        </w:rPr>
        <w:t>)</w:t>
      </w:r>
      <w:r w:rsidRPr="00456F82">
        <w:rPr>
          <w:rFonts w:ascii="Times New Roman" w:hAnsi="Times New Roman" w:cs="Times New Roman"/>
        </w:rPr>
        <w:t xml:space="preserve">; </w:t>
      </w:r>
      <w:r>
        <w:rPr>
          <w:rFonts w:ascii="Times New Roman" w:hAnsi="Times New Roman" w:cs="Times New Roman"/>
          <w:i/>
        </w:rPr>
        <w:t xml:space="preserve">see also </w:t>
      </w:r>
      <w:r>
        <w:rPr>
          <w:rFonts w:ascii="Times New Roman" w:hAnsi="Times New Roman" w:cs="Times New Roman"/>
        </w:rPr>
        <w:t xml:space="preserve">Estate of </w:t>
      </w:r>
      <w:r w:rsidRPr="00452BD4">
        <w:rPr>
          <w:rFonts w:ascii="Times New Roman" w:hAnsi="Times New Roman" w:cs="Times New Roman"/>
        </w:rPr>
        <w:t xml:space="preserve">Turner v. Comm’r, </w:t>
      </w:r>
      <w:r w:rsidRPr="00456F82">
        <w:rPr>
          <w:rFonts w:ascii="Times New Roman" w:hAnsi="Times New Roman" w:cs="Times New Roman"/>
        </w:rPr>
        <w:t>T</w:t>
      </w:r>
      <w:r>
        <w:rPr>
          <w:rFonts w:ascii="Times New Roman" w:hAnsi="Times New Roman" w:cs="Times New Roman"/>
        </w:rPr>
        <w:t>.</w:t>
      </w:r>
      <w:r w:rsidRPr="00456F82">
        <w:rPr>
          <w:rFonts w:ascii="Times New Roman" w:hAnsi="Times New Roman" w:cs="Times New Roman"/>
        </w:rPr>
        <w:t>C</w:t>
      </w:r>
      <w:r>
        <w:rPr>
          <w:rFonts w:ascii="Times New Roman" w:hAnsi="Times New Roman" w:cs="Times New Roman"/>
        </w:rPr>
        <w:t>.</w:t>
      </w:r>
      <w:r w:rsidRPr="00456F82">
        <w:rPr>
          <w:rFonts w:ascii="Times New Roman" w:hAnsi="Times New Roman" w:cs="Times New Roman"/>
        </w:rPr>
        <w:t xml:space="preserve"> Memo</w:t>
      </w:r>
      <w:r>
        <w:rPr>
          <w:rFonts w:ascii="Times New Roman" w:hAnsi="Times New Roman" w:cs="Times New Roman"/>
        </w:rPr>
        <w:t>.</w:t>
      </w:r>
      <w:r w:rsidRPr="00456F82">
        <w:rPr>
          <w:rFonts w:ascii="Times New Roman" w:hAnsi="Times New Roman" w:cs="Times New Roman"/>
        </w:rPr>
        <w:t xml:space="preserve"> 2011-209</w:t>
      </w:r>
      <w:r>
        <w:rPr>
          <w:rFonts w:ascii="Times New Roman" w:hAnsi="Times New Roman" w:cs="Times New Roman"/>
        </w:rPr>
        <w:t xml:space="preserve">, </w:t>
      </w:r>
      <w:r w:rsidRPr="00452BD4">
        <w:rPr>
          <w:rFonts w:ascii="Times New Roman" w:hAnsi="Times New Roman" w:cs="Times New Roman"/>
        </w:rPr>
        <w:t>102 T.C.M. (CCH) 214</w:t>
      </w:r>
      <w:r>
        <w:rPr>
          <w:rFonts w:ascii="Times New Roman" w:hAnsi="Times New Roman" w:cs="Times New Roman"/>
        </w:rPr>
        <w:t xml:space="preserve"> (2011).</w:t>
      </w:r>
    </w:p>
  </w:footnote>
  <w:footnote w:id="21">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For a discussion of </w:t>
      </w:r>
      <w:r w:rsidRPr="00456F82">
        <w:rPr>
          <w:rFonts w:ascii="Times New Roman" w:hAnsi="Times New Roman" w:cs="Times New Roman"/>
          <w:i/>
        </w:rPr>
        <w:t>Strangi</w:t>
      </w:r>
      <w:r w:rsidRPr="00456F82">
        <w:rPr>
          <w:rFonts w:ascii="Times New Roman" w:hAnsi="Times New Roman" w:cs="Times New Roman"/>
        </w:rPr>
        <w:t xml:space="preserve"> and the planning implications, see Mitchell M. Gans </w:t>
      </w:r>
      <w:r>
        <w:rPr>
          <w:rFonts w:ascii="Times New Roman" w:hAnsi="Times New Roman" w:cs="Times New Roman"/>
        </w:rPr>
        <w:t>&amp;</w:t>
      </w:r>
      <w:r w:rsidRPr="00456F82">
        <w:rPr>
          <w:rFonts w:ascii="Times New Roman" w:hAnsi="Times New Roman" w:cs="Times New Roman"/>
        </w:rPr>
        <w:t xml:space="preserve"> Jonathan G. Blattmachr, </w:t>
      </w:r>
      <w:r>
        <w:rPr>
          <w:rFonts w:ascii="Times New Roman" w:hAnsi="Times New Roman" w:cs="Times New Roman"/>
        </w:rPr>
        <w:t xml:space="preserve">Strangi: </w:t>
      </w:r>
      <w:r w:rsidRPr="00CB2C8A">
        <w:rPr>
          <w:rFonts w:ascii="Times New Roman" w:hAnsi="Times New Roman" w:cs="Times New Roman"/>
          <w:i/>
        </w:rPr>
        <w:t>A Critical Analysis and Planning Suggestions</w:t>
      </w:r>
      <w:r w:rsidRPr="00456F82">
        <w:rPr>
          <w:rFonts w:ascii="Times New Roman" w:hAnsi="Times New Roman" w:cs="Times New Roman"/>
        </w:rPr>
        <w:t xml:space="preserve">, </w:t>
      </w:r>
      <w:bookmarkStart w:id="59" w:name="OLE_LINK112"/>
      <w:bookmarkStart w:id="60" w:name="OLE_LINK113"/>
      <w:r w:rsidRPr="00456F82">
        <w:rPr>
          <w:rFonts w:ascii="Times New Roman" w:hAnsi="Times New Roman" w:cs="Times New Roman"/>
        </w:rPr>
        <w:t xml:space="preserve">100 </w:t>
      </w:r>
      <w:r w:rsidRPr="00CB2C8A">
        <w:rPr>
          <w:rFonts w:ascii="Times New Roman" w:hAnsi="Times New Roman" w:cs="Times New Roman"/>
          <w:smallCaps/>
        </w:rPr>
        <w:t>Tax Notes</w:t>
      </w:r>
      <w:r w:rsidRPr="00456F82">
        <w:rPr>
          <w:rFonts w:ascii="Times New Roman" w:hAnsi="Times New Roman" w:cs="Times New Roman"/>
        </w:rPr>
        <w:t xml:space="preserve"> 1153 </w:t>
      </w:r>
      <w:bookmarkEnd w:id="59"/>
      <w:bookmarkEnd w:id="60"/>
      <w:r w:rsidRPr="00456F82">
        <w:rPr>
          <w:rFonts w:ascii="Times New Roman" w:hAnsi="Times New Roman" w:cs="Times New Roman"/>
        </w:rPr>
        <w:t>(2002).</w:t>
      </w:r>
    </w:p>
  </w:footnote>
  <w:footnote w:id="22">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Estate of Powell v. Comm’r, 148 T.C. No. 18</w:t>
      </w:r>
      <w:r>
        <w:rPr>
          <w:rFonts w:ascii="Times New Roman" w:hAnsi="Times New Roman" w:cs="Times New Roman"/>
        </w:rPr>
        <w:t xml:space="preserve">, </w:t>
      </w:r>
      <w:bookmarkStart w:id="61" w:name="OLE_LINK47"/>
      <w:bookmarkStart w:id="62" w:name="OLE_LINK48"/>
      <w:r w:rsidRPr="00B23ACB">
        <w:rPr>
          <w:rFonts w:ascii="Times New Roman" w:hAnsi="Times New Roman" w:cs="Times New Roman"/>
        </w:rPr>
        <w:t>2017 WL 2211398</w:t>
      </w:r>
      <w:r>
        <w:rPr>
          <w:rFonts w:ascii="Times New Roman" w:hAnsi="Times New Roman" w:cs="Times New Roman"/>
        </w:rPr>
        <w:t>, at *5-6</w:t>
      </w:r>
      <w:r w:rsidRPr="00456F82">
        <w:rPr>
          <w:rFonts w:ascii="Times New Roman" w:hAnsi="Times New Roman" w:cs="Times New Roman"/>
        </w:rPr>
        <w:t xml:space="preserve"> </w:t>
      </w:r>
      <w:bookmarkEnd w:id="61"/>
      <w:bookmarkEnd w:id="62"/>
      <w:r w:rsidRPr="00456F82">
        <w:rPr>
          <w:rFonts w:ascii="Times New Roman" w:hAnsi="Times New Roman" w:cs="Times New Roman"/>
        </w:rPr>
        <w:t>(</w:t>
      </w:r>
      <w:r>
        <w:rPr>
          <w:rFonts w:ascii="Times New Roman" w:hAnsi="Times New Roman" w:cs="Times New Roman"/>
        </w:rPr>
        <w:t xml:space="preserve">T.C. </w:t>
      </w:r>
      <w:r w:rsidRPr="00456F82">
        <w:rPr>
          <w:rFonts w:ascii="Times New Roman" w:hAnsi="Times New Roman" w:cs="Times New Roman"/>
        </w:rPr>
        <w:t xml:space="preserve">May 18, </w:t>
      </w:r>
      <w:r>
        <w:rPr>
          <w:rFonts w:ascii="Times New Roman" w:hAnsi="Times New Roman" w:cs="Times New Roman"/>
        </w:rPr>
        <w:t>2017).</w:t>
      </w:r>
    </w:p>
  </w:footnote>
  <w:footnote w:id="23">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Pr>
          <w:rFonts w:ascii="Times New Roman" w:hAnsi="Times New Roman" w:cs="Times New Roman"/>
          <w:i/>
        </w:rPr>
        <w:t xml:space="preserve">Id. </w:t>
      </w:r>
      <w:r>
        <w:rPr>
          <w:rFonts w:ascii="Times New Roman" w:hAnsi="Times New Roman" w:cs="Times New Roman"/>
        </w:rPr>
        <w:t>at *6</w:t>
      </w:r>
      <w:r w:rsidRPr="00456F82">
        <w:rPr>
          <w:rFonts w:ascii="Times New Roman" w:hAnsi="Times New Roman" w:cs="Times New Roman"/>
        </w:rPr>
        <w:t>.</w:t>
      </w:r>
    </w:p>
  </w:footnote>
  <w:footnote w:id="24">
    <w:p w:rsidR="00557C76" w:rsidRPr="00456F82" w:rsidRDefault="00557C76" w:rsidP="00A73520">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Gans &amp; Blattmachr, </w:t>
      </w:r>
      <w:r w:rsidRPr="00456F82">
        <w:rPr>
          <w:rFonts w:ascii="Times New Roman" w:hAnsi="Times New Roman" w:cs="Times New Roman"/>
          <w:i/>
        </w:rPr>
        <w:t xml:space="preserve">supra </w:t>
      </w:r>
      <w:r w:rsidRPr="00456F82">
        <w:rPr>
          <w:rFonts w:ascii="Times New Roman" w:hAnsi="Times New Roman" w:cs="Times New Roman"/>
        </w:rPr>
        <w:t xml:space="preserve">note </w:t>
      </w:r>
      <w:r>
        <w:rPr>
          <w:rFonts w:ascii="Times New Roman" w:hAnsi="Times New Roman" w:cs="Times New Roman"/>
        </w:rPr>
        <w:t>1</w:t>
      </w:r>
      <w:r w:rsidR="00D82701">
        <w:rPr>
          <w:rFonts w:ascii="Times New Roman" w:hAnsi="Times New Roman" w:cs="Times New Roman"/>
        </w:rPr>
        <w:t>9</w:t>
      </w:r>
      <w:r w:rsidRPr="00456F82">
        <w:rPr>
          <w:rFonts w:ascii="Times New Roman" w:hAnsi="Times New Roman" w:cs="Times New Roman"/>
        </w:rPr>
        <w:t>.</w:t>
      </w:r>
    </w:p>
  </w:footnote>
  <w:footnote w:id="25">
    <w:p w:rsidR="00557C76" w:rsidRPr="00456F82" w:rsidRDefault="00557C76" w:rsidP="00A73520">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The </w:t>
      </w:r>
      <w:r w:rsidRPr="00FF37E0">
        <w:rPr>
          <w:rFonts w:ascii="Times New Roman" w:hAnsi="Times New Roman" w:cs="Times New Roman"/>
          <w:i/>
        </w:rPr>
        <w:t>Powell</w:t>
      </w:r>
      <w:r w:rsidRPr="00456F82">
        <w:rPr>
          <w:rFonts w:ascii="Times New Roman" w:hAnsi="Times New Roman" w:cs="Times New Roman"/>
        </w:rPr>
        <w:t xml:space="preserve"> majority says: “… Byrum need not be read as having established a ‘bright-line test’ under which control rights circumscribed by fiduciary duties owed to minority owners (whether related or unrelated to the holder of the rights) prevent the rights from triggering the application of section 2036.”  </w:t>
      </w:r>
      <w:r w:rsidRPr="00FF37E0">
        <w:rPr>
          <w:rFonts w:ascii="Times New Roman" w:hAnsi="Times New Roman" w:cs="Times New Roman"/>
          <w:i/>
        </w:rPr>
        <w:t>Powell</w:t>
      </w:r>
      <w:r>
        <w:rPr>
          <w:rFonts w:ascii="Times New Roman" w:hAnsi="Times New Roman" w:cs="Times New Roman"/>
        </w:rPr>
        <w:t xml:space="preserve">, </w:t>
      </w:r>
      <w:r w:rsidRPr="00B23ACB">
        <w:rPr>
          <w:rFonts w:ascii="Times New Roman" w:hAnsi="Times New Roman" w:cs="Times New Roman"/>
        </w:rPr>
        <w:t>2017 WL 2211398</w:t>
      </w:r>
      <w:r>
        <w:rPr>
          <w:rFonts w:ascii="Times New Roman" w:hAnsi="Times New Roman" w:cs="Times New Roman"/>
        </w:rPr>
        <w:t>, at *6</w:t>
      </w:r>
      <w:r w:rsidRPr="00456F82">
        <w:rPr>
          <w:rFonts w:ascii="Times New Roman" w:hAnsi="Times New Roman" w:cs="Times New Roman"/>
        </w:rPr>
        <w:t xml:space="preserve"> n.7.</w:t>
      </w:r>
    </w:p>
  </w:footnote>
  <w:footnote w:id="26">
    <w:p w:rsidR="00557C76" w:rsidRPr="00456F82" w:rsidRDefault="00557C76" w:rsidP="00A73520">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bookmarkStart w:id="63" w:name="OLE_LINK54"/>
      <w:bookmarkStart w:id="64" w:name="OLE_LINK55"/>
      <w:bookmarkStart w:id="65" w:name="OLE_LINK56"/>
      <w:r w:rsidRPr="00456F82">
        <w:rPr>
          <w:rFonts w:ascii="Times New Roman" w:hAnsi="Times New Roman" w:cs="Times New Roman"/>
        </w:rPr>
        <w:t>United States v. Byrum, 408 U.S. 125</w:t>
      </w:r>
      <w:r>
        <w:rPr>
          <w:rFonts w:ascii="Times New Roman" w:hAnsi="Times New Roman" w:cs="Times New Roman"/>
        </w:rPr>
        <w:t>, 136-37</w:t>
      </w:r>
      <w:r w:rsidRPr="00456F82">
        <w:rPr>
          <w:rFonts w:ascii="Times New Roman" w:hAnsi="Times New Roman" w:cs="Times New Roman"/>
        </w:rPr>
        <w:t xml:space="preserve"> (1972</w:t>
      </w:r>
      <w:bookmarkEnd w:id="63"/>
      <w:bookmarkEnd w:id="64"/>
      <w:bookmarkEnd w:id="65"/>
      <w:r w:rsidRPr="00456F82">
        <w:rPr>
          <w:rFonts w:ascii="Times New Roman" w:hAnsi="Times New Roman" w:cs="Times New Roman"/>
        </w:rPr>
        <w:t>).</w:t>
      </w:r>
    </w:p>
  </w:footnote>
  <w:footnote w:id="27">
    <w:p w:rsidR="00557C76" w:rsidRPr="00456F82" w:rsidRDefault="00557C76" w:rsidP="00A73520">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FF37E0">
        <w:rPr>
          <w:rFonts w:ascii="Times New Roman" w:hAnsi="Times New Roman" w:cs="Times New Roman"/>
          <w:i/>
        </w:rPr>
        <w:t>Id.</w:t>
      </w:r>
      <w:r w:rsidRPr="00456F82">
        <w:rPr>
          <w:rFonts w:ascii="Times New Roman" w:hAnsi="Times New Roman" w:cs="Times New Roman"/>
        </w:rPr>
        <w:t xml:space="preserve"> </w:t>
      </w:r>
    </w:p>
  </w:footnote>
  <w:footnote w:id="28">
    <w:p w:rsidR="00557C76" w:rsidRPr="00456F82" w:rsidRDefault="00557C76" w:rsidP="00A73520">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456F82">
        <w:rPr>
          <w:rFonts w:ascii="Times New Roman" w:hAnsi="Times New Roman" w:cs="Times New Roman"/>
          <w:i/>
        </w:rPr>
        <w:t>Id.</w:t>
      </w:r>
    </w:p>
  </w:footnote>
  <w:footnote w:id="29">
    <w:p w:rsidR="00557C76" w:rsidRPr="00456F82" w:rsidRDefault="00557C76" w:rsidP="00A73520">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456F82">
        <w:rPr>
          <w:rFonts w:ascii="Times New Roman" w:hAnsi="Times New Roman" w:cs="Times New Roman"/>
          <w:i/>
        </w:rPr>
        <w:t>Id.</w:t>
      </w:r>
      <w:r w:rsidRPr="00456F82">
        <w:rPr>
          <w:rFonts w:ascii="Times New Roman" w:hAnsi="Times New Roman" w:cs="Times New Roman"/>
        </w:rPr>
        <w:t xml:space="preserve"> at 137-44</w:t>
      </w:r>
      <w:r>
        <w:rPr>
          <w:rFonts w:ascii="Times New Roman" w:hAnsi="Times New Roman" w:cs="Times New Roman"/>
        </w:rPr>
        <w:t>.  “[T]</w:t>
      </w:r>
      <w:r w:rsidRPr="00456F82">
        <w:rPr>
          <w:rFonts w:ascii="Times New Roman" w:hAnsi="Times New Roman" w:cs="Times New Roman"/>
        </w:rPr>
        <w:t>his case concerns a statute written in terms of the ‘right’ to designate the recipient of income.  The use of the term of ‘right’ implies on the restraints on the exercise of power are to be recognized and that such restraints deprive the person exercising th</w:t>
      </w:r>
      <w:r>
        <w:rPr>
          <w:rFonts w:ascii="Times New Roman" w:hAnsi="Times New Roman" w:cs="Times New Roman"/>
        </w:rPr>
        <w:t xml:space="preserve">e power of a ‘right’ to do so.”  </w:t>
      </w:r>
      <w:r>
        <w:rPr>
          <w:rFonts w:ascii="Times New Roman" w:hAnsi="Times New Roman" w:cs="Times New Roman"/>
          <w:i/>
        </w:rPr>
        <w:t xml:space="preserve">Id. </w:t>
      </w:r>
      <w:r>
        <w:rPr>
          <w:rFonts w:ascii="Times New Roman" w:hAnsi="Times New Roman" w:cs="Times New Roman"/>
        </w:rPr>
        <w:t>at</w:t>
      </w:r>
      <w:r w:rsidRPr="00456F82">
        <w:rPr>
          <w:rFonts w:ascii="Times New Roman" w:hAnsi="Times New Roman" w:cs="Times New Roman"/>
        </w:rPr>
        <w:t xml:space="preserve"> 1</w:t>
      </w:r>
      <w:r>
        <w:rPr>
          <w:rFonts w:ascii="Times New Roman" w:hAnsi="Times New Roman" w:cs="Times New Roman"/>
        </w:rPr>
        <w:t>3</w:t>
      </w:r>
      <w:r w:rsidRPr="00456F82">
        <w:rPr>
          <w:rFonts w:ascii="Times New Roman" w:hAnsi="Times New Roman" w:cs="Times New Roman"/>
        </w:rPr>
        <w:t>9</w:t>
      </w:r>
      <w:r>
        <w:rPr>
          <w:rFonts w:ascii="Times New Roman" w:hAnsi="Times New Roman" w:cs="Times New Roman"/>
        </w:rPr>
        <w:t xml:space="preserve"> n.14</w:t>
      </w:r>
      <w:r w:rsidRPr="00456F82">
        <w:rPr>
          <w:rFonts w:ascii="Times New Roman" w:hAnsi="Times New Roman" w:cs="Times New Roman"/>
        </w:rPr>
        <w:t>.</w:t>
      </w:r>
    </w:p>
  </w:footnote>
  <w:footnote w:id="30">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Pr>
          <w:rFonts w:ascii="Times New Roman" w:hAnsi="Times New Roman" w:cs="Times New Roman"/>
          <w:i/>
        </w:rPr>
        <w:t xml:space="preserve">Id. </w:t>
      </w:r>
      <w:r>
        <w:rPr>
          <w:rFonts w:ascii="Times New Roman" w:hAnsi="Times New Roman" w:cs="Times New Roman"/>
        </w:rPr>
        <w:t>at</w:t>
      </w:r>
      <w:r w:rsidRPr="00456F82">
        <w:rPr>
          <w:rFonts w:ascii="Times New Roman" w:hAnsi="Times New Roman" w:cs="Times New Roman"/>
        </w:rPr>
        <w:t xml:space="preserve"> 158-59 (White, J., dissenting) (indicating that such claims are often unsuccessful).</w:t>
      </w:r>
    </w:p>
  </w:footnote>
  <w:footnote w:id="31">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456F82">
        <w:rPr>
          <w:rFonts w:ascii="Times New Roman" w:hAnsi="Times New Roman" w:cs="Times New Roman"/>
          <w:i/>
        </w:rPr>
        <w:t>Id</w:t>
      </w:r>
      <w:r>
        <w:rPr>
          <w:rFonts w:ascii="Times New Roman" w:hAnsi="Times New Roman" w:cs="Times New Roman"/>
          <w:i/>
        </w:rPr>
        <w:t>.</w:t>
      </w:r>
      <w:r w:rsidRPr="00456F82">
        <w:rPr>
          <w:rFonts w:ascii="Times New Roman" w:hAnsi="Times New Roman" w:cs="Times New Roman"/>
        </w:rPr>
        <w:t xml:space="preserve"> at 137-38</w:t>
      </w:r>
      <w:r w:rsidRPr="00456F82">
        <w:rPr>
          <w:rFonts w:ascii="Times New Roman" w:hAnsi="Times New Roman" w:cs="Times New Roman"/>
          <w:i/>
        </w:rPr>
        <w:t>.</w:t>
      </w:r>
      <w:r w:rsidRPr="00456F82">
        <w:rPr>
          <w:rFonts w:ascii="Times New Roman" w:hAnsi="Times New Roman" w:cs="Times New Roman"/>
        </w:rPr>
        <w:t xml:space="preserve"> </w:t>
      </w:r>
    </w:p>
  </w:footnote>
  <w:footnote w:id="32">
    <w:p w:rsidR="00557C76" w:rsidRPr="00456F82" w:rsidRDefault="00557C76" w:rsidP="00174E5A">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The IRS itself acknowledged as much, concluding that, under </w:t>
      </w:r>
      <w:r w:rsidRPr="00F8647E">
        <w:rPr>
          <w:rFonts w:ascii="Times New Roman" w:hAnsi="Times New Roman" w:cs="Times New Roman"/>
          <w:i/>
        </w:rPr>
        <w:t>Byrum</w:t>
      </w:r>
      <w:r w:rsidRPr="00456F82">
        <w:rPr>
          <w:rFonts w:ascii="Times New Roman" w:hAnsi="Times New Roman" w:cs="Times New Roman"/>
        </w:rPr>
        <w:t xml:space="preserve">, fiduciary-duty constraints precluded the application of section 2036(a)(2) in the case of family limited partnerships.  </w:t>
      </w:r>
      <w:r w:rsidRPr="00F8647E">
        <w:rPr>
          <w:rFonts w:ascii="Times New Roman" w:hAnsi="Times New Roman" w:cs="Times New Roman"/>
          <w:i/>
        </w:rPr>
        <w:t>See</w:t>
      </w:r>
      <w:r w:rsidRPr="00456F82">
        <w:rPr>
          <w:rFonts w:ascii="Times New Roman" w:hAnsi="Times New Roman" w:cs="Times New Roman"/>
        </w:rPr>
        <w:t xml:space="preserve"> </w:t>
      </w:r>
      <w:r>
        <w:rPr>
          <w:rFonts w:ascii="Times New Roman" w:hAnsi="Times New Roman" w:cs="Times New Roman"/>
        </w:rPr>
        <w:t>PLR 9415</w:t>
      </w:r>
      <w:r w:rsidRPr="00602020">
        <w:rPr>
          <w:rFonts w:ascii="Times New Roman" w:hAnsi="Times New Roman" w:cs="Times New Roman"/>
        </w:rPr>
        <w:t>007 (Ap</w:t>
      </w:r>
      <w:r>
        <w:rPr>
          <w:rFonts w:ascii="Times New Roman" w:hAnsi="Times New Roman" w:cs="Times New Roman"/>
        </w:rPr>
        <w:t>r.</w:t>
      </w:r>
      <w:r w:rsidRPr="00602020">
        <w:rPr>
          <w:rFonts w:ascii="Times New Roman" w:hAnsi="Times New Roman" w:cs="Times New Roman"/>
        </w:rPr>
        <w:t xml:space="preserve"> 15, 1994); </w:t>
      </w:r>
      <w:r>
        <w:rPr>
          <w:rFonts w:ascii="Times New Roman" w:hAnsi="Times New Roman" w:cs="Times New Roman"/>
        </w:rPr>
        <w:t>PLR</w:t>
      </w:r>
      <w:r w:rsidRPr="00602020">
        <w:rPr>
          <w:rFonts w:ascii="Times New Roman" w:hAnsi="Times New Roman" w:cs="Times New Roman"/>
        </w:rPr>
        <w:t xml:space="preserve"> 9310039</w:t>
      </w:r>
      <w:r>
        <w:rPr>
          <w:rFonts w:ascii="Times New Roman" w:hAnsi="Times New Roman" w:cs="Times New Roman"/>
        </w:rPr>
        <w:t xml:space="preserve"> (Mar.</w:t>
      </w:r>
      <w:r w:rsidRPr="00602020">
        <w:rPr>
          <w:rFonts w:ascii="Times New Roman" w:hAnsi="Times New Roman" w:cs="Times New Roman"/>
        </w:rPr>
        <w:t xml:space="preserve"> 12, 1993); </w:t>
      </w:r>
      <w:r>
        <w:rPr>
          <w:rFonts w:ascii="Times New Roman" w:hAnsi="Times New Roman" w:cs="Times New Roman"/>
        </w:rPr>
        <w:t>TAM 9131</w:t>
      </w:r>
      <w:r w:rsidRPr="00602020">
        <w:rPr>
          <w:rFonts w:ascii="Times New Roman" w:hAnsi="Times New Roman" w:cs="Times New Roman"/>
        </w:rPr>
        <w:t>006 (Au</w:t>
      </w:r>
      <w:r>
        <w:rPr>
          <w:rFonts w:ascii="Times New Roman" w:hAnsi="Times New Roman" w:cs="Times New Roman"/>
        </w:rPr>
        <w:t>g. 2, 1991</w:t>
      </w:r>
      <w:r w:rsidRPr="00456F82">
        <w:rPr>
          <w:rFonts w:ascii="Times New Roman" w:hAnsi="Times New Roman" w:cs="Times New Roman"/>
        </w:rPr>
        <w:t xml:space="preserve">). </w:t>
      </w:r>
    </w:p>
  </w:footnote>
  <w:footnote w:id="33">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Although not directly applicable, for valuation purposes, it may be noted that the identity of parties or their relationship to a decedent normally is generally not relevant.  </w:t>
      </w:r>
      <w:r w:rsidRPr="00456F82">
        <w:rPr>
          <w:rFonts w:ascii="Times New Roman" w:hAnsi="Times New Roman" w:cs="Times New Roman"/>
          <w:i/>
        </w:rPr>
        <w:t>See, e.g.</w:t>
      </w:r>
      <w:r w:rsidRPr="00456F82">
        <w:rPr>
          <w:rFonts w:ascii="Times New Roman" w:hAnsi="Times New Roman" w:cs="Times New Roman"/>
        </w:rPr>
        <w:t>, Estate of Bright v. United States, 658 F.2d 999 (5th Cir. 1981); Rev. Rul. 93-12, 1993-1 C.B. 202</w:t>
      </w:r>
      <w:r>
        <w:rPr>
          <w:rFonts w:ascii="Times New Roman" w:hAnsi="Times New Roman" w:cs="Times New Roman"/>
        </w:rPr>
        <w:t>.</w:t>
      </w:r>
    </w:p>
  </w:footnote>
  <w:footnote w:id="34">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456F82">
        <w:rPr>
          <w:rFonts w:ascii="Times New Roman" w:hAnsi="Times New Roman" w:cs="Times New Roman"/>
          <w:i/>
        </w:rPr>
        <w:t>See also</w:t>
      </w:r>
      <w:r w:rsidRPr="00456F82">
        <w:rPr>
          <w:rFonts w:ascii="Times New Roman" w:hAnsi="Times New Roman" w:cs="Times New Roman"/>
        </w:rPr>
        <w:t xml:space="preserve"> Estate of Gilman v. Comm’r, 65 T.C. 296 (1975), </w:t>
      </w:r>
      <w:r w:rsidRPr="00456F82">
        <w:rPr>
          <w:rFonts w:ascii="Times New Roman" w:hAnsi="Times New Roman" w:cs="Times New Roman"/>
          <w:i/>
        </w:rPr>
        <w:t>aff’d</w:t>
      </w:r>
      <w:r w:rsidRPr="00456F82">
        <w:rPr>
          <w:rFonts w:ascii="Times New Roman" w:hAnsi="Times New Roman" w:cs="Times New Roman"/>
        </w:rPr>
        <w:t xml:space="preserve">, 547 F.2d 32 (2d Cir. 1976) (fiduciary duties owed to family members sufficient constraint under </w:t>
      </w:r>
      <w:r w:rsidRPr="00456F82">
        <w:rPr>
          <w:rFonts w:ascii="Times New Roman" w:hAnsi="Times New Roman" w:cs="Times New Roman"/>
          <w:i/>
        </w:rPr>
        <w:t>Byrum</w:t>
      </w:r>
      <w:r w:rsidRPr="00456F82">
        <w:rPr>
          <w:rFonts w:ascii="Times New Roman" w:hAnsi="Times New Roman" w:cs="Times New Roman"/>
        </w:rPr>
        <w:t xml:space="preserve"> to preclude application of section 2036(a)(2)); Estate of Cohen v. Comm’r, 70 T.C. 1015 (1982) (finding fiduciary duties in the familial context was a sufficient constraint under </w:t>
      </w:r>
      <w:r w:rsidRPr="00456F82">
        <w:rPr>
          <w:rFonts w:ascii="Times New Roman" w:hAnsi="Times New Roman" w:cs="Times New Roman"/>
          <w:i/>
        </w:rPr>
        <w:t>Byrum</w:t>
      </w:r>
      <w:r w:rsidRPr="00456F82">
        <w:rPr>
          <w:rFonts w:ascii="Times New Roman" w:hAnsi="Times New Roman" w:cs="Times New Roman"/>
        </w:rPr>
        <w:t xml:space="preserve"> in the context of a trust owning rental real estate).</w:t>
      </w:r>
    </w:p>
  </w:footnote>
  <w:footnote w:id="35">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bookmarkStart w:id="66" w:name="OLE_LINK53"/>
      <w:r w:rsidRPr="00456F82">
        <w:rPr>
          <w:rFonts w:ascii="Times New Roman" w:hAnsi="Times New Roman" w:cs="Times New Roman"/>
        </w:rPr>
        <w:t xml:space="preserve">383 U.S. 627 </w:t>
      </w:r>
      <w:bookmarkEnd w:id="66"/>
      <w:r w:rsidRPr="00456F82">
        <w:rPr>
          <w:rFonts w:ascii="Times New Roman" w:hAnsi="Times New Roman" w:cs="Times New Roman"/>
        </w:rPr>
        <w:t>(1966).</w:t>
      </w:r>
    </w:p>
  </w:footnote>
  <w:footnote w:id="36">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456F82">
        <w:rPr>
          <w:rFonts w:ascii="Times New Roman" w:hAnsi="Times New Roman" w:cs="Times New Roman"/>
          <w:i/>
        </w:rPr>
        <w:t>Id.</w:t>
      </w:r>
      <w:r w:rsidRPr="00456F82">
        <w:rPr>
          <w:rFonts w:ascii="Times New Roman" w:hAnsi="Times New Roman" w:cs="Times New Roman"/>
        </w:rPr>
        <w:t xml:space="preserve"> at 629.</w:t>
      </w:r>
    </w:p>
  </w:footnote>
  <w:footnote w:id="37">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456F82">
        <w:rPr>
          <w:rFonts w:ascii="Times New Roman" w:hAnsi="Times New Roman" w:cs="Times New Roman"/>
          <w:i/>
        </w:rPr>
        <w:t>Id.</w:t>
      </w:r>
    </w:p>
  </w:footnote>
  <w:footnote w:id="38">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456F82">
        <w:rPr>
          <w:rFonts w:ascii="Times New Roman" w:hAnsi="Times New Roman" w:cs="Times New Roman"/>
          <w:i/>
        </w:rPr>
        <w:t>Id.</w:t>
      </w:r>
      <w:r w:rsidRPr="00456F82">
        <w:rPr>
          <w:rFonts w:ascii="Times New Roman" w:hAnsi="Times New Roman" w:cs="Times New Roman"/>
        </w:rPr>
        <w:t xml:space="preserve"> at </w:t>
      </w:r>
      <w:r>
        <w:rPr>
          <w:rFonts w:ascii="Times New Roman" w:hAnsi="Times New Roman" w:cs="Times New Roman"/>
        </w:rPr>
        <w:t xml:space="preserve">629 </w:t>
      </w:r>
      <w:r w:rsidRPr="00456F82">
        <w:rPr>
          <w:rFonts w:ascii="Times New Roman" w:hAnsi="Times New Roman" w:cs="Times New Roman"/>
        </w:rPr>
        <w:t>n.3.</w:t>
      </w:r>
    </w:p>
  </w:footnote>
  <w:footnote w:id="39">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FA1A1E">
        <w:rPr>
          <w:rFonts w:ascii="Times New Roman" w:hAnsi="Times New Roman" w:cs="Times New Roman"/>
          <w:i/>
        </w:rPr>
        <w:t>See</w:t>
      </w:r>
      <w:r w:rsidRPr="00456F82">
        <w:rPr>
          <w:rFonts w:ascii="Times New Roman" w:hAnsi="Times New Roman" w:cs="Times New Roman"/>
        </w:rPr>
        <w:t xml:space="preserve"> </w:t>
      </w:r>
      <w:bookmarkStart w:id="67" w:name="OLE_LINK64"/>
      <w:r w:rsidRPr="00456F82">
        <w:rPr>
          <w:rFonts w:ascii="Times New Roman" w:hAnsi="Times New Roman" w:cs="Times New Roman"/>
        </w:rPr>
        <w:t xml:space="preserve">United States v. Byrum, </w:t>
      </w:r>
      <w:bookmarkStart w:id="68" w:name="OLE_LINK62"/>
      <w:bookmarkStart w:id="69" w:name="OLE_LINK63"/>
      <w:r w:rsidRPr="00456F82">
        <w:rPr>
          <w:rFonts w:ascii="Times New Roman" w:hAnsi="Times New Roman" w:cs="Times New Roman"/>
        </w:rPr>
        <w:t>408 U.S. 125</w:t>
      </w:r>
      <w:bookmarkEnd w:id="68"/>
      <w:bookmarkEnd w:id="69"/>
      <w:r>
        <w:rPr>
          <w:rFonts w:ascii="Times New Roman" w:hAnsi="Times New Roman" w:cs="Times New Roman"/>
        </w:rPr>
        <w:t>, 135-38</w:t>
      </w:r>
      <w:r w:rsidRPr="00456F82">
        <w:rPr>
          <w:rFonts w:ascii="Times New Roman" w:hAnsi="Times New Roman" w:cs="Times New Roman"/>
        </w:rPr>
        <w:t xml:space="preserve"> (1972</w:t>
      </w:r>
      <w:r>
        <w:rPr>
          <w:rFonts w:ascii="Times New Roman" w:hAnsi="Times New Roman" w:cs="Times New Roman"/>
        </w:rPr>
        <w:t>)</w:t>
      </w:r>
      <w:r w:rsidRPr="00456F82">
        <w:rPr>
          <w:rFonts w:ascii="Times New Roman" w:hAnsi="Times New Roman" w:cs="Times New Roman"/>
        </w:rPr>
        <w:t xml:space="preserve"> (summarizing and explaining </w:t>
      </w:r>
      <w:r w:rsidRPr="00456F82">
        <w:rPr>
          <w:rFonts w:ascii="Times New Roman" w:hAnsi="Times New Roman" w:cs="Times New Roman"/>
          <w:i/>
        </w:rPr>
        <w:t>O’Malley</w:t>
      </w:r>
      <w:r w:rsidRPr="00456F82">
        <w:rPr>
          <w:rFonts w:ascii="Times New Roman" w:hAnsi="Times New Roman" w:cs="Times New Roman"/>
        </w:rPr>
        <w:t>)</w:t>
      </w:r>
      <w:bookmarkEnd w:id="67"/>
      <w:r w:rsidRPr="00456F82">
        <w:rPr>
          <w:rFonts w:ascii="Times New Roman" w:hAnsi="Times New Roman" w:cs="Times New Roman"/>
        </w:rPr>
        <w:t>.</w:t>
      </w:r>
    </w:p>
  </w:footnote>
  <w:footnote w:id="40">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Pr>
          <w:rFonts w:ascii="Times New Roman" w:hAnsi="Times New Roman" w:cs="Times New Roman"/>
          <w:i/>
        </w:rPr>
        <w:t xml:space="preserve">Id. </w:t>
      </w:r>
      <w:r>
        <w:rPr>
          <w:rFonts w:ascii="Times New Roman" w:hAnsi="Times New Roman" w:cs="Times New Roman"/>
        </w:rPr>
        <w:t>at 157 (White, J., dissenting)</w:t>
      </w:r>
      <w:r w:rsidRPr="00456F82">
        <w:rPr>
          <w:rFonts w:ascii="Times New Roman" w:hAnsi="Times New Roman" w:cs="Times New Roman"/>
        </w:rPr>
        <w:t>.</w:t>
      </w:r>
    </w:p>
  </w:footnote>
  <w:footnote w:id="41">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456F82">
        <w:rPr>
          <w:rFonts w:ascii="Times New Roman" w:hAnsi="Times New Roman" w:cs="Times New Roman"/>
          <w:i/>
        </w:rPr>
        <w:t>Id.</w:t>
      </w:r>
    </w:p>
  </w:footnote>
  <w:footnote w:id="42">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Pr>
          <w:rFonts w:ascii="Times New Roman" w:hAnsi="Times New Roman" w:cs="Times New Roman"/>
          <w:i/>
        </w:rPr>
        <w:t xml:space="preserve">Id. </w:t>
      </w:r>
      <w:r w:rsidRPr="00456F82">
        <w:rPr>
          <w:rFonts w:ascii="Times New Roman" w:hAnsi="Times New Roman" w:cs="Times New Roman"/>
        </w:rPr>
        <w:t>at 136.</w:t>
      </w:r>
    </w:p>
  </w:footnote>
  <w:footnote w:id="43">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Pr>
          <w:rFonts w:ascii="Times New Roman" w:hAnsi="Times New Roman" w:cs="Times New Roman"/>
          <w:i/>
        </w:rPr>
        <w:t xml:space="preserve">Id. </w:t>
      </w:r>
      <w:r>
        <w:rPr>
          <w:rFonts w:ascii="Times New Roman" w:hAnsi="Times New Roman" w:cs="Times New Roman"/>
        </w:rPr>
        <w:t>at</w:t>
      </w:r>
      <w:r w:rsidRPr="00456F82">
        <w:rPr>
          <w:rFonts w:ascii="Times New Roman" w:hAnsi="Times New Roman" w:cs="Times New Roman"/>
        </w:rPr>
        <w:t xml:space="preserve"> 166</w:t>
      </w:r>
      <w:r>
        <w:rPr>
          <w:rFonts w:ascii="Times New Roman" w:hAnsi="Times New Roman" w:cs="Times New Roman"/>
        </w:rPr>
        <w:t xml:space="preserve"> (White, J., dissenting)</w:t>
      </w:r>
      <w:r w:rsidRPr="00456F82">
        <w:rPr>
          <w:rFonts w:ascii="Times New Roman" w:hAnsi="Times New Roman" w:cs="Times New Roman"/>
        </w:rPr>
        <w:t>.</w:t>
      </w:r>
    </w:p>
  </w:footnote>
  <w:footnote w:id="44">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Pr>
          <w:rFonts w:ascii="Times New Roman" w:hAnsi="Times New Roman" w:cs="Times New Roman"/>
          <w:i/>
        </w:rPr>
        <w:t xml:space="preserve">Id.  </w:t>
      </w:r>
      <w:r w:rsidRPr="00456F82">
        <w:rPr>
          <w:rFonts w:ascii="Times New Roman" w:hAnsi="Times New Roman" w:cs="Times New Roman"/>
        </w:rPr>
        <w:t>The dissent cited Jennings v. Smith, 161 F.2d 74 (2d</w:t>
      </w:r>
      <w:r>
        <w:rPr>
          <w:rFonts w:ascii="Times New Roman" w:hAnsi="Times New Roman" w:cs="Times New Roman"/>
        </w:rPr>
        <w:t xml:space="preserve"> Cir. 1947).</w:t>
      </w:r>
    </w:p>
  </w:footnote>
  <w:footnote w:id="45">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Pr>
          <w:rFonts w:ascii="Times New Roman" w:hAnsi="Times New Roman" w:cs="Times New Roman"/>
          <w:i/>
        </w:rPr>
        <w:t xml:space="preserve">See </w:t>
      </w:r>
      <w:r w:rsidRPr="00456F82">
        <w:rPr>
          <w:rFonts w:ascii="Times New Roman" w:hAnsi="Times New Roman" w:cs="Times New Roman"/>
        </w:rPr>
        <w:t>Rev. Rul. 73-143, 1973-1 C.B. 407</w:t>
      </w:r>
      <w:r>
        <w:rPr>
          <w:rFonts w:ascii="Times New Roman" w:hAnsi="Times New Roman" w:cs="Times New Roman"/>
        </w:rPr>
        <w:t>.</w:t>
      </w:r>
    </w:p>
  </w:footnote>
  <w:footnote w:id="46">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bookmarkStart w:id="70" w:name="OLE_LINK92"/>
      <w:bookmarkStart w:id="71" w:name="OLE_LINK93"/>
      <w:r w:rsidRPr="00456F82">
        <w:rPr>
          <w:rFonts w:ascii="Times New Roman" w:hAnsi="Times New Roman" w:cs="Times New Roman"/>
        </w:rPr>
        <w:t>United States v. Byrum, 408 U.S. 125</w:t>
      </w:r>
      <w:r>
        <w:rPr>
          <w:rFonts w:ascii="Times New Roman" w:hAnsi="Times New Roman" w:cs="Times New Roman"/>
        </w:rPr>
        <w:t>, 161</w:t>
      </w:r>
      <w:r w:rsidRPr="00456F82">
        <w:rPr>
          <w:rFonts w:ascii="Times New Roman" w:hAnsi="Times New Roman" w:cs="Times New Roman"/>
        </w:rPr>
        <w:t xml:space="preserve"> (1972</w:t>
      </w:r>
      <w:r>
        <w:rPr>
          <w:rFonts w:ascii="Times New Roman" w:hAnsi="Times New Roman" w:cs="Times New Roman"/>
        </w:rPr>
        <w:t>)</w:t>
      </w:r>
      <w:r w:rsidRPr="00456F82">
        <w:rPr>
          <w:rFonts w:ascii="Times New Roman" w:hAnsi="Times New Roman" w:cs="Times New Roman"/>
        </w:rPr>
        <w:t xml:space="preserve"> </w:t>
      </w:r>
      <w:bookmarkEnd w:id="70"/>
      <w:bookmarkEnd w:id="71"/>
      <w:r w:rsidRPr="00456F82">
        <w:rPr>
          <w:rFonts w:ascii="Times New Roman" w:hAnsi="Times New Roman" w:cs="Times New Roman"/>
        </w:rPr>
        <w:t>(</w:t>
      </w:r>
      <w:r>
        <w:rPr>
          <w:rFonts w:ascii="Times New Roman" w:hAnsi="Times New Roman" w:cs="Times New Roman"/>
        </w:rPr>
        <w:t>White, J., dissenting</w:t>
      </w:r>
      <w:r w:rsidRPr="00456F82">
        <w:rPr>
          <w:rFonts w:ascii="Times New Roman" w:hAnsi="Times New Roman" w:cs="Times New Roman"/>
        </w:rPr>
        <w:t xml:space="preserve">) </w:t>
      </w:r>
      <w:r>
        <w:rPr>
          <w:rFonts w:ascii="Times New Roman" w:hAnsi="Times New Roman" w:cs="Times New Roman"/>
        </w:rPr>
        <w:t>(“[I]t</w:t>
      </w:r>
      <w:r w:rsidRPr="00456F82">
        <w:rPr>
          <w:rFonts w:ascii="Times New Roman" w:hAnsi="Times New Roman" w:cs="Times New Roman"/>
        </w:rPr>
        <w:t xml:space="preserve">t is quite repugnant to the words and sense of our opinion in </w:t>
      </w:r>
      <w:r w:rsidRPr="00456F82">
        <w:rPr>
          <w:rFonts w:ascii="Times New Roman" w:hAnsi="Times New Roman" w:cs="Times New Roman"/>
          <w:i/>
        </w:rPr>
        <w:t>O’Malley</w:t>
      </w:r>
      <w:r w:rsidRPr="00456F82">
        <w:rPr>
          <w:rFonts w:ascii="Times New Roman" w:hAnsi="Times New Roman" w:cs="Times New Roman"/>
        </w:rPr>
        <w:t xml:space="preserve"> to read it as though it pivoted on an interpretation of ‘right’ rather than a power.  The opinion could hardly have been more explicitly concerned with the realities of a settlor’s retained power rather than the theoretical legal form of the trust.”).</w:t>
      </w:r>
    </w:p>
  </w:footnote>
  <w:footnote w:id="47">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Pr>
          <w:rFonts w:ascii="Times New Roman" w:hAnsi="Times New Roman" w:cs="Times New Roman"/>
          <w:i/>
        </w:rPr>
        <w:t>Id.</w:t>
      </w:r>
      <w:r w:rsidRPr="00456F82">
        <w:rPr>
          <w:rFonts w:ascii="Times New Roman" w:hAnsi="Times New Roman" w:cs="Times New Roman"/>
        </w:rPr>
        <w:t xml:space="preserve"> at </w:t>
      </w:r>
      <w:r>
        <w:rPr>
          <w:rFonts w:ascii="Times New Roman" w:hAnsi="Times New Roman" w:cs="Times New Roman"/>
        </w:rPr>
        <w:t>136 n.</w:t>
      </w:r>
      <w:r w:rsidRPr="00456F82">
        <w:rPr>
          <w:rFonts w:ascii="Times New Roman" w:hAnsi="Times New Roman" w:cs="Times New Roman"/>
        </w:rPr>
        <w:t xml:space="preserve">9 (“Although Mr. Justice White’s dissent argues that the use of the word ‘power’ in </w:t>
      </w:r>
      <w:r w:rsidRPr="00456F82">
        <w:rPr>
          <w:rFonts w:ascii="Times New Roman" w:hAnsi="Times New Roman" w:cs="Times New Roman"/>
          <w:i/>
        </w:rPr>
        <w:t>O’Malley</w:t>
      </w:r>
      <w:r w:rsidRPr="00456F82">
        <w:rPr>
          <w:rFonts w:ascii="Times New Roman" w:hAnsi="Times New Roman" w:cs="Times New Roman"/>
        </w:rPr>
        <w:t xml:space="preserve"> implies that the Court’s concern was with practical reality rather than legal form, an examination of that opinion does not indicate that the term was used other than in the sense of legally empowered.”).</w:t>
      </w:r>
    </w:p>
  </w:footnote>
  <w:footnote w:id="48">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Pr>
          <w:rFonts w:ascii="Times New Roman" w:hAnsi="Times New Roman" w:cs="Times New Roman"/>
          <w:i/>
        </w:rPr>
        <w:t xml:space="preserve">Id. </w:t>
      </w:r>
      <w:r w:rsidRPr="00456F82">
        <w:rPr>
          <w:rFonts w:ascii="Times New Roman" w:hAnsi="Times New Roman" w:cs="Times New Roman"/>
        </w:rPr>
        <w:t xml:space="preserve"> at 159</w:t>
      </w:r>
      <w:r>
        <w:rPr>
          <w:rFonts w:ascii="Times New Roman" w:hAnsi="Times New Roman" w:cs="Times New Roman"/>
        </w:rPr>
        <w:t xml:space="preserve"> (White, J., dissenting)</w:t>
      </w:r>
      <w:r w:rsidRPr="00456F82">
        <w:rPr>
          <w:rFonts w:ascii="Times New Roman" w:hAnsi="Times New Roman" w:cs="Times New Roman"/>
        </w:rPr>
        <w:t>.</w:t>
      </w:r>
    </w:p>
  </w:footnote>
  <w:footnote w:id="49">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456F82">
        <w:rPr>
          <w:rFonts w:ascii="Times New Roman" w:hAnsi="Times New Roman" w:cs="Times New Roman"/>
          <w:i/>
        </w:rPr>
        <w:t>See generally</w:t>
      </w:r>
      <w:r w:rsidRPr="00456F82">
        <w:rPr>
          <w:rFonts w:ascii="Times New Roman" w:hAnsi="Times New Roman" w:cs="Times New Roman"/>
        </w:rPr>
        <w:t xml:space="preserve"> Kathleen M. Sullivan, </w:t>
      </w:r>
      <w:r w:rsidRPr="00456F82">
        <w:rPr>
          <w:rFonts w:ascii="Times New Roman" w:hAnsi="Times New Roman" w:cs="Times New Roman"/>
          <w:i/>
        </w:rPr>
        <w:t>The Supreme Court, 1991 Term – Foreword: The Justices of Rules and Standards</w:t>
      </w:r>
      <w:r w:rsidRPr="00456F82">
        <w:rPr>
          <w:rFonts w:ascii="Times New Roman" w:hAnsi="Times New Roman" w:cs="Times New Roman"/>
        </w:rPr>
        <w:t xml:space="preserve">, 106 </w:t>
      </w:r>
      <w:r w:rsidRPr="00456F82">
        <w:rPr>
          <w:rFonts w:ascii="Times New Roman" w:hAnsi="Times New Roman" w:cs="Times New Roman"/>
          <w:smallCaps/>
        </w:rPr>
        <w:t>Harv. L. Rev.</w:t>
      </w:r>
      <w:r w:rsidRPr="00456F82">
        <w:rPr>
          <w:rFonts w:ascii="Times New Roman" w:hAnsi="Times New Roman" w:cs="Times New Roman"/>
        </w:rPr>
        <w:t xml:space="preserve"> 22 (1992) (indicating that a rule must be followed even if inconsistent with the underlying principle or policy, whereas a standard gives the court more discretion to take into account the underlying policy); Ernest Young, </w:t>
      </w:r>
      <w:r w:rsidRPr="00456F82">
        <w:rPr>
          <w:rFonts w:ascii="Times New Roman" w:hAnsi="Times New Roman" w:cs="Times New Roman"/>
          <w:i/>
        </w:rPr>
        <w:t>Rediscovering Conservatism: Burkean Political Theory and Constitutional Interpretation</w:t>
      </w:r>
      <w:r w:rsidRPr="00456F82">
        <w:rPr>
          <w:rFonts w:ascii="Times New Roman" w:hAnsi="Times New Roman" w:cs="Times New Roman"/>
        </w:rPr>
        <w:t xml:space="preserve">, 72 </w:t>
      </w:r>
      <w:r w:rsidRPr="00456F82">
        <w:rPr>
          <w:rFonts w:ascii="Times New Roman" w:hAnsi="Times New Roman" w:cs="Times New Roman"/>
          <w:smallCaps/>
        </w:rPr>
        <w:t>N.C. L. Rev.</w:t>
      </w:r>
      <w:r w:rsidRPr="00456F82">
        <w:rPr>
          <w:rFonts w:ascii="Times New Roman" w:hAnsi="Times New Roman" w:cs="Times New Roman"/>
        </w:rPr>
        <w:t xml:space="preserve"> 619 (1994) (citing Professor Sullivan).</w:t>
      </w:r>
    </w:p>
  </w:footnote>
  <w:footnote w:id="50">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557C76">
        <w:rPr>
          <w:rFonts w:ascii="Times New Roman" w:hAnsi="Times New Roman" w:cs="Times New Roman"/>
          <w:i/>
        </w:rPr>
        <w:t>Byrum</w:t>
      </w:r>
      <w:r>
        <w:rPr>
          <w:rFonts w:ascii="Times New Roman" w:hAnsi="Times New Roman" w:cs="Times New Roman"/>
        </w:rPr>
        <w:t xml:space="preserve">, </w:t>
      </w:r>
      <w:r w:rsidRPr="00557C76">
        <w:rPr>
          <w:rFonts w:ascii="Times New Roman" w:hAnsi="Times New Roman" w:cs="Times New Roman"/>
        </w:rPr>
        <w:t>408</w:t>
      </w:r>
      <w:r w:rsidRPr="00456F82">
        <w:rPr>
          <w:rFonts w:ascii="Times New Roman" w:hAnsi="Times New Roman" w:cs="Times New Roman"/>
        </w:rPr>
        <w:t xml:space="preserve"> U.S. at</w:t>
      </w:r>
      <w:r>
        <w:rPr>
          <w:rFonts w:ascii="Times New Roman" w:hAnsi="Times New Roman" w:cs="Times New Roman"/>
        </w:rPr>
        <w:t xml:space="preserve"> 137</w:t>
      </w:r>
      <w:r w:rsidRPr="00456F82">
        <w:rPr>
          <w:rFonts w:ascii="Times New Roman" w:hAnsi="Times New Roman" w:cs="Times New Roman"/>
        </w:rPr>
        <w:t xml:space="preserve"> n.</w:t>
      </w:r>
      <w:r>
        <w:rPr>
          <w:rFonts w:ascii="Times New Roman" w:hAnsi="Times New Roman" w:cs="Times New Roman"/>
        </w:rPr>
        <w:t>10</w:t>
      </w:r>
      <w:r w:rsidRPr="00456F82">
        <w:rPr>
          <w:rFonts w:ascii="Times New Roman" w:hAnsi="Times New Roman" w:cs="Times New Roman"/>
        </w:rPr>
        <w:t xml:space="preserve"> (“The ‘control’ rationale, urged by the Government and adopted by the dissenting opinion, </w:t>
      </w:r>
      <w:r w:rsidRPr="00557C76">
        <w:rPr>
          <w:rFonts w:ascii="Times New Roman" w:hAnsi="Times New Roman" w:cs="Times New Roman"/>
          <w:i/>
        </w:rPr>
        <w:t>would create a standard</w:t>
      </w:r>
      <w:r w:rsidRPr="00456F82">
        <w:rPr>
          <w:rFonts w:ascii="Times New Roman" w:hAnsi="Times New Roman" w:cs="Times New Roman"/>
        </w:rPr>
        <w:t xml:space="preserve"> – not specified in the statute – </w:t>
      </w:r>
      <w:r w:rsidRPr="00557C76">
        <w:rPr>
          <w:rFonts w:ascii="Times New Roman" w:hAnsi="Times New Roman" w:cs="Times New Roman"/>
          <w:i/>
        </w:rPr>
        <w:t>so vague and amorphous as to be impossible of ascertainment</w:t>
      </w:r>
      <w:r w:rsidRPr="00456F82">
        <w:rPr>
          <w:rFonts w:ascii="Times New Roman" w:hAnsi="Times New Roman" w:cs="Times New Roman"/>
        </w:rPr>
        <w:t xml:space="preserve"> in many instances</w:t>
      </w:r>
      <w:r>
        <w:rPr>
          <w:rFonts w:ascii="Times New Roman" w:hAnsi="Times New Roman" w:cs="Times New Roman"/>
        </w:rPr>
        <w:t>.” (emphasis supplied)</w:t>
      </w:r>
      <w:r w:rsidRPr="00456F82">
        <w:rPr>
          <w:rFonts w:ascii="Times New Roman" w:hAnsi="Times New Roman" w:cs="Times New Roman"/>
        </w:rPr>
        <w:t>).</w:t>
      </w:r>
    </w:p>
  </w:footnote>
  <w:footnote w:id="51">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456F82">
        <w:rPr>
          <w:rFonts w:ascii="Times New Roman" w:hAnsi="Times New Roman" w:cs="Times New Roman"/>
          <w:i/>
        </w:rPr>
        <w:t>Id.</w:t>
      </w:r>
      <w:r w:rsidRPr="00456F82">
        <w:rPr>
          <w:rFonts w:ascii="Times New Roman" w:hAnsi="Times New Roman" w:cs="Times New Roman"/>
        </w:rPr>
        <w:t xml:space="preserve"> </w:t>
      </w:r>
    </w:p>
  </w:footnote>
  <w:footnote w:id="52">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006D4A7E">
        <w:rPr>
          <w:rFonts w:ascii="Times New Roman" w:hAnsi="Times New Roman" w:cs="Times New Roman"/>
          <w:i/>
        </w:rPr>
        <w:t>Id.</w:t>
      </w:r>
      <w:r w:rsidRPr="00456F82">
        <w:rPr>
          <w:rFonts w:ascii="Times New Roman" w:hAnsi="Times New Roman" w:cs="Times New Roman"/>
        </w:rPr>
        <w:t xml:space="preserve"> at 135 (“When courts readily undertake such tasks, taxpayers may not rely with assurance on what appear to be established rules lest they be subsequently overturned</w:t>
      </w:r>
      <w:r w:rsidR="00593E2C">
        <w:rPr>
          <w:rFonts w:ascii="Times New Roman" w:hAnsi="Times New Roman" w:cs="Times New Roman"/>
        </w:rPr>
        <w:t>.”</w:t>
      </w:r>
      <w:r w:rsidRPr="00456F82">
        <w:rPr>
          <w:rFonts w:ascii="Times New Roman" w:hAnsi="Times New Roman" w:cs="Times New Roman"/>
        </w:rPr>
        <w:t>).</w:t>
      </w:r>
    </w:p>
  </w:footnote>
  <w:footnote w:id="53">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For example, the economic substance doctrine, now codified in </w:t>
      </w:r>
      <w:r w:rsidR="0093692A">
        <w:rPr>
          <w:rFonts w:ascii="Times New Roman" w:hAnsi="Times New Roman" w:cs="Times New Roman"/>
        </w:rPr>
        <w:t xml:space="preserve">section </w:t>
      </w:r>
      <w:r w:rsidRPr="00456F82">
        <w:rPr>
          <w:rFonts w:ascii="Times New Roman" w:hAnsi="Times New Roman" w:cs="Times New Roman"/>
        </w:rPr>
        <w:t>7701(o), is an example of a standard.</w:t>
      </w:r>
    </w:p>
  </w:footnote>
  <w:footnote w:id="54">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It is worth noting that Congress has not altered the </w:t>
      </w:r>
      <w:r w:rsidRPr="00456F82">
        <w:rPr>
          <w:rFonts w:ascii="Times New Roman" w:hAnsi="Times New Roman" w:cs="Times New Roman"/>
          <w:i/>
        </w:rPr>
        <w:t>Byrum</w:t>
      </w:r>
      <w:r w:rsidRPr="00456F82">
        <w:rPr>
          <w:rFonts w:ascii="Times New Roman" w:hAnsi="Times New Roman" w:cs="Times New Roman"/>
        </w:rPr>
        <w:t xml:space="preserve"> Court’s construction, although it had an opportunity to do so when it enacted section 2036(b) to deal with retained voting rights in transferred stock in 1978.  And given the strong claim to stare decisis enjoyed in the statutory-construction context and particularly in the tax realm, see </w:t>
      </w:r>
      <w:r w:rsidRPr="0093692A">
        <w:rPr>
          <w:rFonts w:ascii="Times New Roman" w:hAnsi="Times New Roman" w:cs="Times New Roman"/>
          <w:i/>
        </w:rPr>
        <w:t>Battat v. Commissioner</w:t>
      </w:r>
      <w:r w:rsidRPr="00456F82">
        <w:rPr>
          <w:rFonts w:ascii="Times New Roman" w:hAnsi="Times New Roman" w:cs="Times New Roman"/>
        </w:rPr>
        <w:t xml:space="preserve">, </w:t>
      </w:r>
      <w:bookmarkStart w:id="72" w:name="OLE_LINK65"/>
      <w:r w:rsidRPr="00456F82">
        <w:rPr>
          <w:rFonts w:ascii="Times New Roman" w:hAnsi="Times New Roman" w:cs="Times New Roman"/>
        </w:rPr>
        <w:t>148 T.C. No</w:t>
      </w:r>
      <w:r w:rsidR="0093692A">
        <w:rPr>
          <w:rFonts w:ascii="Times New Roman" w:hAnsi="Times New Roman" w:cs="Times New Roman"/>
        </w:rPr>
        <w:t>.</w:t>
      </w:r>
      <w:r w:rsidRPr="00456F82">
        <w:rPr>
          <w:rFonts w:ascii="Times New Roman" w:hAnsi="Times New Roman" w:cs="Times New Roman"/>
        </w:rPr>
        <w:t xml:space="preserve"> 2</w:t>
      </w:r>
      <w:r w:rsidR="0093692A">
        <w:rPr>
          <w:rFonts w:ascii="Times New Roman" w:hAnsi="Times New Roman" w:cs="Times New Roman"/>
        </w:rPr>
        <w:t xml:space="preserve">, </w:t>
      </w:r>
      <w:bookmarkStart w:id="73" w:name="OLE_LINK66"/>
      <w:r w:rsidR="0093692A" w:rsidRPr="0093692A">
        <w:rPr>
          <w:rFonts w:ascii="Times New Roman" w:hAnsi="Times New Roman" w:cs="Times New Roman"/>
        </w:rPr>
        <w:t>2017 WL 449951</w:t>
      </w:r>
      <w:r w:rsidRPr="00456F82">
        <w:rPr>
          <w:rFonts w:ascii="Times New Roman" w:hAnsi="Times New Roman" w:cs="Times New Roman"/>
        </w:rPr>
        <w:t xml:space="preserve"> </w:t>
      </w:r>
      <w:bookmarkEnd w:id="72"/>
      <w:bookmarkEnd w:id="73"/>
      <w:r w:rsidRPr="00456F82">
        <w:rPr>
          <w:rFonts w:ascii="Times New Roman" w:hAnsi="Times New Roman" w:cs="Times New Roman"/>
        </w:rPr>
        <w:t>(</w:t>
      </w:r>
      <w:r w:rsidR="0093692A">
        <w:rPr>
          <w:rFonts w:ascii="Times New Roman" w:hAnsi="Times New Roman" w:cs="Times New Roman"/>
        </w:rPr>
        <w:t xml:space="preserve">T.C. Feb. 2, </w:t>
      </w:r>
      <w:r w:rsidRPr="00456F82">
        <w:rPr>
          <w:rFonts w:ascii="Times New Roman" w:hAnsi="Times New Roman" w:cs="Times New Roman"/>
        </w:rPr>
        <w:t xml:space="preserve">2017), it would seem unlikely that the Supreme Court would be willing to revisit the issue.  Perhaps, the Court’s holding could be overturned by a regulation, see </w:t>
      </w:r>
      <w:r w:rsidRPr="00456F82">
        <w:rPr>
          <w:rFonts w:ascii="Times New Roman" w:hAnsi="Times New Roman" w:cs="Times New Roman"/>
          <w:i/>
        </w:rPr>
        <w:t>United States v. Home Concrete &amp; Supply, LLC</w:t>
      </w:r>
      <w:r w:rsidRPr="00456F82">
        <w:rPr>
          <w:rFonts w:ascii="Times New Roman" w:hAnsi="Times New Roman" w:cs="Times New Roman"/>
        </w:rPr>
        <w:t xml:space="preserve">, 566 U.S. 478 (2012) (leaving open the possibility that a regulation could overturn a Supreme Court decision), but that would seem equally unlikely given that the holding was based on the unambiguous word “right” contained in the statute.  </w:t>
      </w:r>
      <w:r w:rsidRPr="0093692A">
        <w:rPr>
          <w:rFonts w:ascii="Times New Roman" w:hAnsi="Times New Roman" w:cs="Times New Roman"/>
          <w:i/>
        </w:rPr>
        <w:t>See also</w:t>
      </w:r>
      <w:r w:rsidRPr="00456F82">
        <w:rPr>
          <w:rFonts w:ascii="Times New Roman" w:hAnsi="Times New Roman" w:cs="Times New Roman"/>
        </w:rPr>
        <w:t xml:space="preserve"> </w:t>
      </w:r>
      <w:r w:rsidR="0093692A">
        <w:rPr>
          <w:rFonts w:ascii="Times New Roman" w:hAnsi="Times New Roman" w:cs="Times New Roman"/>
          <w:smallCaps/>
        </w:rPr>
        <w:t>Jonathan G. Blattmachr,</w:t>
      </w:r>
      <w:r w:rsidRPr="00456F82">
        <w:rPr>
          <w:rFonts w:ascii="Times New Roman" w:hAnsi="Times New Roman" w:cs="Times New Roman"/>
          <w:smallCaps/>
        </w:rPr>
        <w:t xml:space="preserve"> Mitchell M. Gans</w:t>
      </w:r>
      <w:r w:rsidR="0093692A">
        <w:rPr>
          <w:rFonts w:ascii="Times New Roman" w:hAnsi="Times New Roman" w:cs="Times New Roman"/>
          <w:smallCaps/>
        </w:rPr>
        <w:t xml:space="preserve"> &amp; Damien RIOS</w:t>
      </w:r>
      <w:r w:rsidRPr="00456F82">
        <w:rPr>
          <w:rFonts w:ascii="Times New Roman" w:hAnsi="Times New Roman" w:cs="Times New Roman"/>
          <w:smallCaps/>
        </w:rPr>
        <w:t>, The Circular 230 Deskbook</w:t>
      </w:r>
      <w:r w:rsidRPr="00456F82">
        <w:rPr>
          <w:rFonts w:ascii="Times New Roman" w:hAnsi="Times New Roman" w:cs="Times New Roman"/>
        </w:rPr>
        <w:t xml:space="preserve">, ch. 1 (discussing </w:t>
      </w:r>
      <w:r w:rsidRPr="00456F82">
        <w:rPr>
          <w:rFonts w:ascii="Times New Roman" w:hAnsi="Times New Roman" w:cs="Times New Roman"/>
          <w:i/>
        </w:rPr>
        <w:t>Home Concrete</w:t>
      </w:r>
      <w:r w:rsidRPr="00456F82">
        <w:rPr>
          <w:rFonts w:ascii="Times New Roman" w:hAnsi="Times New Roman" w:cs="Times New Roman"/>
        </w:rPr>
        <w:t>).</w:t>
      </w:r>
    </w:p>
  </w:footnote>
  <w:footnote w:id="55">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0093692A">
        <w:rPr>
          <w:rFonts w:ascii="Times New Roman" w:hAnsi="Times New Roman" w:cs="Times New Roman"/>
          <w:i/>
        </w:rPr>
        <w:t xml:space="preserve">Battat, </w:t>
      </w:r>
      <w:r w:rsidR="0093692A" w:rsidRPr="0093692A">
        <w:rPr>
          <w:rFonts w:ascii="Times New Roman" w:hAnsi="Times New Roman" w:cs="Times New Roman"/>
        </w:rPr>
        <w:t>2017 WL 449951</w:t>
      </w:r>
      <w:r w:rsidR="00BF0EB5">
        <w:rPr>
          <w:rFonts w:ascii="Times New Roman" w:hAnsi="Times New Roman" w:cs="Times New Roman"/>
        </w:rPr>
        <w:t>,</w:t>
      </w:r>
      <w:r w:rsidR="0093692A" w:rsidRPr="00456F82">
        <w:rPr>
          <w:rFonts w:ascii="Times New Roman" w:hAnsi="Times New Roman" w:cs="Times New Roman"/>
        </w:rPr>
        <w:t xml:space="preserve"> </w:t>
      </w:r>
      <w:r w:rsidRPr="00456F82">
        <w:rPr>
          <w:rFonts w:ascii="Times New Roman" w:hAnsi="Times New Roman" w:cs="Times New Roman"/>
        </w:rPr>
        <w:t>at</w:t>
      </w:r>
      <w:r w:rsidR="0093692A">
        <w:rPr>
          <w:rFonts w:ascii="Times New Roman" w:hAnsi="Times New Roman" w:cs="Times New Roman"/>
        </w:rPr>
        <w:t xml:space="preserve"> *1</w:t>
      </w:r>
      <w:r w:rsidRPr="00456F82">
        <w:rPr>
          <w:rFonts w:ascii="Times New Roman" w:hAnsi="Times New Roman" w:cs="Times New Roman"/>
        </w:rPr>
        <w:t xml:space="preserve"> n.5.</w:t>
      </w:r>
    </w:p>
  </w:footnote>
  <w:footnote w:id="56">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This is to be contrasted with </w:t>
      </w:r>
      <w:r w:rsidRPr="00456F82">
        <w:rPr>
          <w:rFonts w:ascii="Times New Roman" w:hAnsi="Times New Roman" w:cs="Times New Roman"/>
          <w:i/>
        </w:rPr>
        <w:t>Estate of Wall v. Commissioner</w:t>
      </w:r>
      <w:r w:rsidRPr="00456F82">
        <w:rPr>
          <w:rFonts w:ascii="Times New Roman" w:hAnsi="Times New Roman" w:cs="Times New Roman"/>
        </w:rPr>
        <w:t xml:space="preserve">, 101 T.C. 300 (1993), where the court repeatedly referenced </w:t>
      </w:r>
      <w:r w:rsidRPr="00456F82">
        <w:rPr>
          <w:rFonts w:ascii="Times New Roman" w:hAnsi="Times New Roman" w:cs="Times New Roman"/>
          <w:i/>
        </w:rPr>
        <w:t>Byrum</w:t>
      </w:r>
      <w:r w:rsidRPr="00456F82">
        <w:rPr>
          <w:rFonts w:ascii="Times New Roman" w:hAnsi="Times New Roman" w:cs="Times New Roman"/>
        </w:rPr>
        <w:t>’s conclusion that section 2036(a)(2) requires a legally enforceable right.</w:t>
      </w:r>
    </w:p>
  </w:footnote>
  <w:footnote w:id="57">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bookmarkStart w:id="74" w:name="OLE_LINK81"/>
      <w:r w:rsidR="00BF0EB5" w:rsidRPr="00456F82">
        <w:rPr>
          <w:rFonts w:ascii="Times New Roman" w:hAnsi="Times New Roman" w:cs="Times New Roman"/>
        </w:rPr>
        <w:t>Estate of Powell v. Comm’r, 148 T.C. No. 18</w:t>
      </w:r>
      <w:r w:rsidR="00BF0EB5">
        <w:rPr>
          <w:rFonts w:ascii="Times New Roman" w:hAnsi="Times New Roman" w:cs="Times New Roman"/>
        </w:rPr>
        <w:t xml:space="preserve">, </w:t>
      </w:r>
      <w:bookmarkStart w:id="75" w:name="OLE_LINK69"/>
      <w:bookmarkStart w:id="76" w:name="OLE_LINK77"/>
      <w:bookmarkStart w:id="77" w:name="OLE_LINK78"/>
      <w:r w:rsidR="00BF0EB5" w:rsidRPr="00B23ACB">
        <w:rPr>
          <w:rFonts w:ascii="Times New Roman" w:hAnsi="Times New Roman" w:cs="Times New Roman"/>
        </w:rPr>
        <w:t>2017 WL 2211398</w:t>
      </w:r>
      <w:r w:rsidR="00BF0EB5">
        <w:rPr>
          <w:rFonts w:ascii="Times New Roman" w:hAnsi="Times New Roman" w:cs="Times New Roman"/>
        </w:rPr>
        <w:t xml:space="preserve">, </w:t>
      </w:r>
      <w:bookmarkEnd w:id="75"/>
      <w:bookmarkEnd w:id="76"/>
      <w:bookmarkEnd w:id="77"/>
      <w:r w:rsidR="00BF0EB5">
        <w:rPr>
          <w:rFonts w:ascii="Times New Roman" w:hAnsi="Times New Roman" w:cs="Times New Roman"/>
        </w:rPr>
        <w:t>at *6-7</w:t>
      </w:r>
      <w:r w:rsidR="00BF0EB5" w:rsidRPr="00456F82">
        <w:rPr>
          <w:rFonts w:ascii="Times New Roman" w:hAnsi="Times New Roman" w:cs="Times New Roman"/>
        </w:rPr>
        <w:t xml:space="preserve"> (</w:t>
      </w:r>
      <w:r w:rsidR="00BF0EB5">
        <w:rPr>
          <w:rFonts w:ascii="Times New Roman" w:hAnsi="Times New Roman" w:cs="Times New Roman"/>
        </w:rPr>
        <w:t xml:space="preserve">T.C. </w:t>
      </w:r>
      <w:r w:rsidR="00BF0EB5" w:rsidRPr="00456F82">
        <w:rPr>
          <w:rFonts w:ascii="Times New Roman" w:hAnsi="Times New Roman" w:cs="Times New Roman"/>
        </w:rPr>
        <w:t>May 18, 2017).</w:t>
      </w:r>
    </w:p>
    <w:bookmarkEnd w:id="74"/>
  </w:footnote>
  <w:footnote w:id="58">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This is reminiscent of the common law approach used in determining whether a non-probate form of transfer should be considered in calculating the elective share – an approach that has largely been rejected in favor of clear-cut statutory rules.  </w:t>
      </w:r>
      <w:r w:rsidRPr="00456F82">
        <w:rPr>
          <w:rFonts w:ascii="Times New Roman" w:hAnsi="Times New Roman" w:cs="Times New Roman"/>
          <w:i/>
        </w:rPr>
        <w:t>See, e.g</w:t>
      </w:r>
      <w:r w:rsidRPr="00456F82">
        <w:rPr>
          <w:rFonts w:ascii="Times New Roman" w:hAnsi="Times New Roman" w:cs="Times New Roman"/>
        </w:rPr>
        <w:t xml:space="preserve">., Newman v. Dore, </w:t>
      </w:r>
      <w:r w:rsidR="00BF0EB5" w:rsidRPr="00BF0EB5">
        <w:rPr>
          <w:rFonts w:ascii="Times New Roman" w:hAnsi="Times New Roman" w:cs="Times New Roman"/>
        </w:rPr>
        <w:t xml:space="preserve">9 N.E.2d 966 </w:t>
      </w:r>
      <w:r w:rsidRPr="00456F82">
        <w:rPr>
          <w:rFonts w:ascii="Times New Roman" w:hAnsi="Times New Roman" w:cs="Times New Roman"/>
        </w:rPr>
        <w:t>(</w:t>
      </w:r>
      <w:r w:rsidR="00BF0EB5">
        <w:rPr>
          <w:rFonts w:ascii="Times New Roman" w:hAnsi="Times New Roman" w:cs="Times New Roman"/>
        </w:rPr>
        <w:t xml:space="preserve">N.Y. </w:t>
      </w:r>
      <w:r w:rsidRPr="00456F82">
        <w:rPr>
          <w:rFonts w:ascii="Times New Roman" w:hAnsi="Times New Roman" w:cs="Times New Roman"/>
        </w:rPr>
        <w:t xml:space="preserve">1937); John H. Langbein </w:t>
      </w:r>
      <w:r w:rsidR="00BF0EB5">
        <w:rPr>
          <w:rFonts w:ascii="Times New Roman" w:hAnsi="Times New Roman" w:cs="Times New Roman"/>
        </w:rPr>
        <w:t>&amp;</w:t>
      </w:r>
      <w:r w:rsidRPr="00456F82">
        <w:rPr>
          <w:rFonts w:ascii="Times New Roman" w:hAnsi="Times New Roman" w:cs="Times New Roman"/>
        </w:rPr>
        <w:t xml:space="preserve"> Lawrence W. Waggoner, </w:t>
      </w:r>
      <w:bookmarkStart w:id="78" w:name="OLE_LINK70"/>
      <w:bookmarkStart w:id="79" w:name="OLE_LINK71"/>
      <w:r w:rsidRPr="00456F82">
        <w:rPr>
          <w:rStyle w:val="lucenesearchresulturlb"/>
          <w:rFonts w:ascii="Times New Roman" w:hAnsi="Times New Roman" w:cs="Times New Roman"/>
          <w:i/>
        </w:rPr>
        <w:t>Redesigning the Spouse's Forced Share</w:t>
      </w:r>
      <w:r w:rsidRPr="00456F82">
        <w:rPr>
          <w:rStyle w:val="lucenesearchresulturlb"/>
          <w:rFonts w:ascii="Times New Roman" w:hAnsi="Times New Roman" w:cs="Times New Roman"/>
        </w:rPr>
        <w:t xml:space="preserve">, </w:t>
      </w:r>
      <w:r w:rsidRPr="00456F82">
        <w:rPr>
          <w:rFonts w:ascii="Times New Roman" w:hAnsi="Times New Roman" w:cs="Times New Roman"/>
        </w:rPr>
        <w:t xml:space="preserve">22 </w:t>
      </w:r>
      <w:r w:rsidRPr="00456F82">
        <w:rPr>
          <w:rFonts w:ascii="Times New Roman" w:hAnsi="Times New Roman" w:cs="Times New Roman"/>
          <w:smallCaps/>
        </w:rPr>
        <w:t>Real Prop. Prob. &amp; Tr</w:t>
      </w:r>
      <w:r w:rsidR="00BF0EB5">
        <w:rPr>
          <w:rFonts w:ascii="Times New Roman" w:hAnsi="Times New Roman" w:cs="Times New Roman"/>
          <w:smallCaps/>
        </w:rPr>
        <w:t>.</w:t>
      </w:r>
      <w:r w:rsidRPr="00456F82">
        <w:rPr>
          <w:rFonts w:ascii="Times New Roman" w:hAnsi="Times New Roman" w:cs="Times New Roman"/>
          <w:smallCaps/>
        </w:rPr>
        <w:t xml:space="preserve"> J.</w:t>
      </w:r>
      <w:r w:rsidRPr="00456F82">
        <w:rPr>
          <w:rFonts w:ascii="Times New Roman" w:hAnsi="Times New Roman" w:cs="Times New Roman"/>
        </w:rPr>
        <w:t xml:space="preserve"> 303 </w:t>
      </w:r>
      <w:bookmarkEnd w:id="78"/>
      <w:bookmarkEnd w:id="79"/>
      <w:r w:rsidRPr="00456F82">
        <w:rPr>
          <w:rFonts w:ascii="Times New Roman" w:hAnsi="Times New Roman" w:cs="Times New Roman"/>
        </w:rPr>
        <w:t xml:space="preserve">(1987). </w:t>
      </w:r>
    </w:p>
  </w:footnote>
  <w:footnote w:id="59">
    <w:p w:rsidR="00557C76" w:rsidRPr="00BF0EB5"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00BF0EB5">
        <w:rPr>
          <w:rFonts w:ascii="Times New Roman" w:hAnsi="Times New Roman" w:cs="Times New Roman"/>
          <w:i/>
        </w:rPr>
        <w:t>Powell</w:t>
      </w:r>
      <w:r w:rsidR="00BF0EB5">
        <w:rPr>
          <w:rFonts w:ascii="Times New Roman" w:hAnsi="Times New Roman" w:cs="Times New Roman"/>
        </w:rPr>
        <w:t xml:space="preserve">, </w:t>
      </w:r>
      <w:r w:rsidR="00BF0EB5" w:rsidRPr="00B23ACB">
        <w:rPr>
          <w:rFonts w:ascii="Times New Roman" w:hAnsi="Times New Roman" w:cs="Times New Roman"/>
        </w:rPr>
        <w:t>2017 WL 2211398</w:t>
      </w:r>
      <w:r w:rsidR="00BF0EB5">
        <w:rPr>
          <w:rFonts w:ascii="Times New Roman" w:hAnsi="Times New Roman" w:cs="Times New Roman"/>
        </w:rPr>
        <w:t xml:space="preserve">, at </w:t>
      </w:r>
      <w:r w:rsidR="0014645B">
        <w:rPr>
          <w:rFonts w:ascii="Times New Roman" w:hAnsi="Times New Roman" w:cs="Times New Roman"/>
        </w:rPr>
        <w:t>*6.</w:t>
      </w:r>
    </w:p>
  </w:footnote>
  <w:footnote w:id="60">
    <w:p w:rsidR="00557C76" w:rsidRPr="0014645B"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0014645B">
        <w:rPr>
          <w:rFonts w:ascii="Times New Roman" w:hAnsi="Times New Roman" w:cs="Times New Roman"/>
          <w:i/>
        </w:rPr>
        <w:t xml:space="preserve">Id. </w:t>
      </w:r>
      <w:r w:rsidR="0014645B">
        <w:rPr>
          <w:rFonts w:ascii="Times New Roman" w:hAnsi="Times New Roman" w:cs="Times New Roman"/>
        </w:rPr>
        <w:t>at *7.</w:t>
      </w:r>
    </w:p>
  </w:footnote>
  <w:footnote w:id="61">
    <w:p w:rsidR="00557C76" w:rsidRPr="0014645B"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0014645B">
        <w:rPr>
          <w:rFonts w:ascii="Times New Roman" w:hAnsi="Times New Roman" w:cs="Times New Roman"/>
          <w:i/>
        </w:rPr>
        <w:t xml:space="preserve">Id. </w:t>
      </w:r>
      <w:r w:rsidR="0014645B">
        <w:rPr>
          <w:rFonts w:ascii="Times New Roman" w:hAnsi="Times New Roman" w:cs="Times New Roman"/>
        </w:rPr>
        <w:t>at *6.</w:t>
      </w:r>
    </w:p>
  </w:footnote>
  <w:footnote w:id="62">
    <w:p w:rsidR="00557C76" w:rsidRPr="0014645B"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0014645B">
        <w:rPr>
          <w:rFonts w:ascii="Times New Roman" w:hAnsi="Times New Roman" w:cs="Times New Roman"/>
          <w:i/>
        </w:rPr>
        <w:t xml:space="preserve">Id. </w:t>
      </w:r>
      <w:r w:rsidR="0014645B">
        <w:rPr>
          <w:rFonts w:ascii="Times New Roman" w:hAnsi="Times New Roman" w:cs="Times New Roman"/>
        </w:rPr>
        <w:t xml:space="preserve">at *5 (citing </w:t>
      </w:r>
      <w:r w:rsidR="00CA04E7" w:rsidRPr="00456F82">
        <w:rPr>
          <w:rFonts w:ascii="Times New Roman" w:hAnsi="Times New Roman" w:cs="Times New Roman"/>
        </w:rPr>
        <w:t>Estate of Strangi v. Comm’r, T.C. Memo. 2003-145, 85 T.C.M. (CCH) 1331 (2003)</w:t>
      </w:r>
      <w:r w:rsidR="00CA04E7">
        <w:rPr>
          <w:rFonts w:ascii="Times New Roman" w:hAnsi="Times New Roman" w:cs="Times New Roman"/>
        </w:rPr>
        <w:t>).</w:t>
      </w:r>
    </w:p>
  </w:footnote>
  <w:footnote w:id="63">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00CA04E7" w:rsidRPr="00CA04E7">
        <w:rPr>
          <w:rFonts w:ascii="Times New Roman" w:hAnsi="Times New Roman" w:cs="Times New Roman"/>
          <w:i/>
        </w:rPr>
        <w:t>Strangi</w:t>
      </w:r>
      <w:r w:rsidR="00CA04E7" w:rsidRPr="00456F82">
        <w:rPr>
          <w:rFonts w:ascii="Times New Roman" w:hAnsi="Times New Roman" w:cs="Times New Roman"/>
        </w:rPr>
        <w:t xml:space="preserve">, T.C. Memo. 2003-145, </w:t>
      </w:r>
      <w:r w:rsidR="00CA04E7">
        <w:rPr>
          <w:rFonts w:ascii="Times New Roman" w:hAnsi="Times New Roman" w:cs="Times New Roman"/>
        </w:rPr>
        <w:t>at *17-18.</w:t>
      </w:r>
    </w:p>
  </w:footnote>
  <w:footnote w:id="64">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The </w:t>
      </w:r>
      <w:r w:rsidRPr="00456F82">
        <w:rPr>
          <w:rFonts w:ascii="Times New Roman" w:hAnsi="Times New Roman" w:cs="Times New Roman"/>
          <w:i/>
        </w:rPr>
        <w:t>Powell</w:t>
      </w:r>
      <w:r w:rsidRPr="00456F82">
        <w:rPr>
          <w:rFonts w:ascii="Times New Roman" w:hAnsi="Times New Roman" w:cs="Times New Roman"/>
        </w:rPr>
        <w:t xml:space="preserve"> court says: “And although decedent’s ability to dissolve NHP [the partnership] is sufficient to invoke section 2036(a)(2), the second factor we relied on in </w:t>
      </w:r>
      <w:r w:rsidRPr="00456F82">
        <w:rPr>
          <w:rFonts w:ascii="Times New Roman" w:hAnsi="Times New Roman" w:cs="Times New Roman"/>
          <w:i/>
        </w:rPr>
        <w:t>Estate of Strangi</w:t>
      </w:r>
      <w:r w:rsidRPr="00456F82">
        <w:rPr>
          <w:rFonts w:ascii="Times New Roman" w:hAnsi="Times New Roman" w:cs="Times New Roman"/>
        </w:rPr>
        <w:t xml:space="preserve"> is also present here.” </w:t>
      </w:r>
      <w:bookmarkStart w:id="80" w:name="OLE_LINK94"/>
      <w:r w:rsidR="000D22B4" w:rsidRPr="00456F82">
        <w:rPr>
          <w:rFonts w:ascii="Times New Roman" w:hAnsi="Times New Roman" w:cs="Times New Roman"/>
        </w:rPr>
        <w:t>Estate of Powell v. Comm’r, 148 T.C. No. 18</w:t>
      </w:r>
      <w:r w:rsidR="000D22B4">
        <w:rPr>
          <w:rFonts w:ascii="Times New Roman" w:hAnsi="Times New Roman" w:cs="Times New Roman"/>
        </w:rPr>
        <w:t xml:space="preserve">, </w:t>
      </w:r>
      <w:r w:rsidR="000D22B4" w:rsidRPr="00B23ACB">
        <w:rPr>
          <w:rFonts w:ascii="Times New Roman" w:hAnsi="Times New Roman" w:cs="Times New Roman"/>
        </w:rPr>
        <w:t>2017 WL 2211398</w:t>
      </w:r>
      <w:r w:rsidR="000D22B4">
        <w:rPr>
          <w:rFonts w:ascii="Times New Roman" w:hAnsi="Times New Roman" w:cs="Times New Roman"/>
        </w:rPr>
        <w:t xml:space="preserve">, at *6 </w:t>
      </w:r>
      <w:r w:rsidR="000D22B4" w:rsidRPr="00456F82">
        <w:rPr>
          <w:rFonts w:ascii="Times New Roman" w:hAnsi="Times New Roman" w:cs="Times New Roman"/>
        </w:rPr>
        <w:t>(</w:t>
      </w:r>
      <w:r w:rsidR="000D22B4">
        <w:rPr>
          <w:rFonts w:ascii="Times New Roman" w:hAnsi="Times New Roman" w:cs="Times New Roman"/>
        </w:rPr>
        <w:t xml:space="preserve">T.C. </w:t>
      </w:r>
      <w:r w:rsidR="000D22B4" w:rsidRPr="00456F82">
        <w:rPr>
          <w:rFonts w:ascii="Times New Roman" w:hAnsi="Times New Roman" w:cs="Times New Roman"/>
        </w:rPr>
        <w:t>May 18, 2017).</w:t>
      </w:r>
    </w:p>
    <w:bookmarkEnd w:id="80"/>
  </w:footnote>
  <w:footnote w:id="65">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0D22B4">
        <w:rPr>
          <w:rFonts w:ascii="Times New Roman" w:hAnsi="Times New Roman" w:cs="Times New Roman"/>
          <w:i/>
        </w:rPr>
        <w:t>See</w:t>
      </w:r>
      <w:r w:rsidRPr="00456F82">
        <w:rPr>
          <w:rFonts w:ascii="Times New Roman" w:hAnsi="Times New Roman" w:cs="Times New Roman"/>
        </w:rPr>
        <w:t xml:space="preserve"> Sletteland v. Roberts, </w:t>
      </w:r>
      <w:bookmarkStart w:id="81" w:name="OLE_LINK86"/>
      <w:bookmarkStart w:id="82" w:name="OLE_LINK87"/>
      <w:r w:rsidRPr="00456F82">
        <w:rPr>
          <w:rFonts w:ascii="Times New Roman" w:hAnsi="Times New Roman" w:cs="Times New Roman"/>
        </w:rPr>
        <w:t>16 P.3d 1062</w:t>
      </w:r>
      <w:r w:rsidR="008C6C82">
        <w:rPr>
          <w:rFonts w:ascii="Times New Roman" w:hAnsi="Times New Roman" w:cs="Times New Roman"/>
        </w:rPr>
        <w:t>, 1067</w:t>
      </w:r>
      <w:r w:rsidRPr="00456F82">
        <w:rPr>
          <w:rFonts w:ascii="Times New Roman" w:hAnsi="Times New Roman" w:cs="Times New Roman"/>
        </w:rPr>
        <w:t xml:space="preserve"> </w:t>
      </w:r>
      <w:bookmarkEnd w:id="81"/>
      <w:bookmarkEnd w:id="82"/>
      <w:r w:rsidRPr="00456F82">
        <w:rPr>
          <w:rFonts w:ascii="Times New Roman" w:hAnsi="Times New Roman" w:cs="Times New Roman"/>
        </w:rPr>
        <w:t>(</w:t>
      </w:r>
      <w:r w:rsidR="000D22B4">
        <w:rPr>
          <w:rFonts w:ascii="Times New Roman" w:hAnsi="Times New Roman" w:cs="Times New Roman"/>
        </w:rPr>
        <w:t xml:space="preserve">Mont. </w:t>
      </w:r>
      <w:r w:rsidRPr="00456F82">
        <w:rPr>
          <w:rFonts w:ascii="Times New Roman" w:hAnsi="Times New Roman" w:cs="Times New Roman"/>
        </w:rPr>
        <w:t xml:space="preserve">2000) (fiduciary duty can be imposed on a minority-interest holder who “has power to do damage” to the entity); Gilbert v. El Paso Co., 490 A.2d 1050, 1055 (Del.Ch.1984) (non-controlling equity holder who can dominate the entity owes fiduciary duty).  </w:t>
      </w:r>
    </w:p>
  </w:footnote>
  <w:footnote w:id="66">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0D22B4">
        <w:rPr>
          <w:rFonts w:ascii="Times New Roman" w:hAnsi="Times New Roman" w:cs="Times New Roman"/>
          <w:i/>
        </w:rPr>
        <w:t>See</w:t>
      </w:r>
      <w:r w:rsidRPr="00456F82">
        <w:rPr>
          <w:rFonts w:ascii="Times New Roman" w:hAnsi="Times New Roman" w:cs="Times New Roman"/>
        </w:rPr>
        <w:t xml:space="preserve"> Estate of Jones v. Comm’r, 116 T.C. 121 (2001); </w:t>
      </w:r>
      <w:r w:rsidRPr="000D22B4">
        <w:rPr>
          <w:rFonts w:ascii="Times New Roman" w:hAnsi="Times New Roman" w:cs="Times New Roman"/>
          <w:i/>
        </w:rPr>
        <w:t>see also</w:t>
      </w:r>
      <w:r w:rsidRPr="00456F82">
        <w:rPr>
          <w:rFonts w:ascii="Times New Roman" w:hAnsi="Times New Roman" w:cs="Times New Roman"/>
        </w:rPr>
        <w:t xml:space="preserve"> Estate of Curry v. United States, 706 F.2d 1424 (7th Cir. 1983) (holding that, in valuing a majority interest, a discount should be permitted to reflect a fiduciary-duty constraint on liquidation); </w:t>
      </w:r>
      <w:r w:rsidRPr="000D22B4">
        <w:rPr>
          <w:rFonts w:ascii="Times New Roman" w:hAnsi="Times New Roman" w:cs="Times New Roman"/>
          <w:i/>
        </w:rPr>
        <w:t>but see</w:t>
      </w:r>
      <w:r w:rsidRPr="00456F82">
        <w:rPr>
          <w:rFonts w:ascii="Times New Roman" w:hAnsi="Times New Roman" w:cs="Times New Roman"/>
        </w:rPr>
        <w:t xml:space="preserve"> Estate of Koons v. Comm’r, </w:t>
      </w:r>
      <w:r w:rsidR="000D22B4" w:rsidRPr="000D22B4">
        <w:rPr>
          <w:rFonts w:ascii="Times New Roman" w:hAnsi="Times New Roman" w:cs="Times New Roman"/>
        </w:rPr>
        <w:t>No. 16-10646, No. 16-10648</w:t>
      </w:r>
      <w:r w:rsidRPr="00456F82">
        <w:rPr>
          <w:rFonts w:ascii="Times New Roman" w:hAnsi="Times New Roman" w:cs="Times New Roman"/>
        </w:rPr>
        <w:t xml:space="preserve">, </w:t>
      </w:r>
      <w:bookmarkStart w:id="83" w:name="OLE_LINK82"/>
      <w:bookmarkStart w:id="84" w:name="OLE_LINK83"/>
      <w:r w:rsidRPr="00456F82">
        <w:rPr>
          <w:rFonts w:ascii="Times New Roman" w:hAnsi="Times New Roman" w:cs="Times New Roman"/>
        </w:rPr>
        <w:t xml:space="preserve">2017 WL 1501062 </w:t>
      </w:r>
      <w:bookmarkEnd w:id="83"/>
      <w:bookmarkEnd w:id="84"/>
      <w:r w:rsidRPr="00456F82">
        <w:rPr>
          <w:rFonts w:ascii="Times New Roman" w:hAnsi="Times New Roman" w:cs="Times New Roman"/>
        </w:rPr>
        <w:t xml:space="preserve">(11th Cir. </w:t>
      </w:r>
      <w:r w:rsidR="000D22B4">
        <w:rPr>
          <w:rFonts w:ascii="Times New Roman" w:hAnsi="Times New Roman" w:cs="Times New Roman"/>
        </w:rPr>
        <w:t>Apr. 27, 2017)</w:t>
      </w:r>
      <w:r w:rsidRPr="00456F82">
        <w:rPr>
          <w:rFonts w:ascii="Times New Roman" w:hAnsi="Times New Roman" w:cs="Times New Roman"/>
        </w:rPr>
        <w:t xml:space="preserve"> (indicating that there is no fiduciary-duty constraint with respect to forcing a liquidation provided that all equity holders receive a pro rata share).</w:t>
      </w:r>
    </w:p>
  </w:footnote>
  <w:footnote w:id="67">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0D22B4">
        <w:rPr>
          <w:rFonts w:ascii="Times New Roman" w:hAnsi="Times New Roman" w:cs="Times New Roman"/>
          <w:i/>
        </w:rPr>
        <w:t>See</w:t>
      </w:r>
      <w:r w:rsidRPr="00456F82">
        <w:rPr>
          <w:rFonts w:ascii="Times New Roman" w:hAnsi="Times New Roman" w:cs="Times New Roman"/>
        </w:rPr>
        <w:t xml:space="preserve"> Estate of Tully v. United States, </w:t>
      </w:r>
      <w:bookmarkStart w:id="85" w:name="OLE_LINK89"/>
      <w:bookmarkStart w:id="86" w:name="OLE_LINK90"/>
      <w:bookmarkStart w:id="87" w:name="OLE_LINK84"/>
      <w:bookmarkStart w:id="88" w:name="OLE_LINK88"/>
      <w:r w:rsidRPr="00456F82">
        <w:rPr>
          <w:rFonts w:ascii="Times New Roman" w:hAnsi="Times New Roman" w:cs="Times New Roman"/>
        </w:rPr>
        <w:t>528 F.2d 1401</w:t>
      </w:r>
      <w:bookmarkEnd w:id="85"/>
      <w:bookmarkEnd w:id="86"/>
      <w:r w:rsidR="008C6C82">
        <w:rPr>
          <w:rFonts w:ascii="Times New Roman" w:hAnsi="Times New Roman" w:cs="Times New Roman"/>
        </w:rPr>
        <w:t>, 1404</w:t>
      </w:r>
      <w:r w:rsidRPr="00456F82">
        <w:rPr>
          <w:rFonts w:ascii="Times New Roman" w:hAnsi="Times New Roman" w:cs="Times New Roman"/>
        </w:rPr>
        <w:t xml:space="preserve"> </w:t>
      </w:r>
      <w:bookmarkEnd w:id="87"/>
      <w:bookmarkEnd w:id="88"/>
      <w:r w:rsidRPr="00456F82">
        <w:rPr>
          <w:rFonts w:ascii="Times New Roman" w:hAnsi="Times New Roman" w:cs="Times New Roman"/>
        </w:rPr>
        <w:t xml:space="preserve">(Cl. Ct. 1976) (power to persuade co-shareholder outside the scope of “in conjunction with” language); </w:t>
      </w:r>
      <w:r w:rsidRPr="008C6C82">
        <w:rPr>
          <w:rFonts w:ascii="Times New Roman" w:hAnsi="Times New Roman" w:cs="Times New Roman"/>
          <w:i/>
        </w:rPr>
        <w:t>but see</w:t>
      </w:r>
      <w:r w:rsidRPr="00456F82">
        <w:rPr>
          <w:rFonts w:ascii="Times New Roman" w:hAnsi="Times New Roman" w:cs="Times New Roman"/>
        </w:rPr>
        <w:t xml:space="preserve"> Estate of Levin v. Comm’r, </w:t>
      </w:r>
      <w:bookmarkStart w:id="89" w:name="OLE_LINK91"/>
      <w:bookmarkStart w:id="90" w:name="OLE_LINK85"/>
      <w:r w:rsidRPr="00456F82">
        <w:rPr>
          <w:rFonts w:ascii="Times New Roman" w:hAnsi="Times New Roman" w:cs="Times New Roman"/>
        </w:rPr>
        <w:t>90 T.C. 723</w:t>
      </w:r>
      <w:bookmarkEnd w:id="89"/>
      <w:r w:rsidR="008C6C82">
        <w:rPr>
          <w:rFonts w:ascii="Times New Roman" w:hAnsi="Times New Roman" w:cs="Times New Roman"/>
        </w:rPr>
        <w:t>, 730-31</w:t>
      </w:r>
      <w:r w:rsidRPr="00456F82">
        <w:rPr>
          <w:rFonts w:ascii="Times New Roman" w:hAnsi="Times New Roman" w:cs="Times New Roman"/>
        </w:rPr>
        <w:t xml:space="preserve"> </w:t>
      </w:r>
      <w:bookmarkEnd w:id="90"/>
      <w:r w:rsidRPr="00456F82">
        <w:rPr>
          <w:rFonts w:ascii="Times New Roman" w:hAnsi="Times New Roman" w:cs="Times New Roman"/>
        </w:rPr>
        <w:t>(1988) (applying the “in conjunction with” principle over an argument that other board members were not likely to acquiesce and saying that “the ability of the other board members to go against decedent's wishes is largely illusory.”)</w:t>
      </w:r>
    </w:p>
  </w:footnote>
  <w:footnote w:id="68">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008C6C82" w:rsidRPr="00456F82">
        <w:rPr>
          <w:rFonts w:ascii="Times New Roman" w:hAnsi="Times New Roman" w:cs="Times New Roman"/>
        </w:rPr>
        <w:t>United States v. Byrum, 408 U.S. 125</w:t>
      </w:r>
      <w:r w:rsidR="008C6C82">
        <w:rPr>
          <w:rFonts w:ascii="Times New Roman" w:hAnsi="Times New Roman" w:cs="Times New Roman"/>
        </w:rPr>
        <w:t>, 149</w:t>
      </w:r>
      <w:r w:rsidR="008C6C82" w:rsidRPr="00456F82">
        <w:rPr>
          <w:rFonts w:ascii="Times New Roman" w:hAnsi="Times New Roman" w:cs="Times New Roman"/>
        </w:rPr>
        <w:t xml:space="preserve"> (1972</w:t>
      </w:r>
      <w:r w:rsidR="008C6C82">
        <w:rPr>
          <w:rFonts w:ascii="Times New Roman" w:hAnsi="Times New Roman" w:cs="Times New Roman"/>
        </w:rPr>
        <w:t>)</w:t>
      </w:r>
      <w:r w:rsidR="008C6C82" w:rsidRPr="00456F82">
        <w:rPr>
          <w:rFonts w:ascii="Times New Roman" w:hAnsi="Times New Roman" w:cs="Times New Roman"/>
        </w:rPr>
        <w:t xml:space="preserve"> </w:t>
      </w:r>
      <w:r w:rsidRPr="00456F82">
        <w:rPr>
          <w:rFonts w:ascii="Times New Roman" w:hAnsi="Times New Roman" w:cs="Times New Roman"/>
        </w:rPr>
        <w:t>(“The first of these, the power to liquidate or merge, is not a present benefit; rather, it is a speculative and contingent which may or may not be realized.”).</w:t>
      </w:r>
    </w:p>
  </w:footnote>
  <w:footnote w:id="69">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See </w:t>
      </w:r>
      <w:r w:rsidRPr="00456F82">
        <w:rPr>
          <w:rFonts w:ascii="Times New Roman" w:hAnsi="Times New Roman" w:cs="Times New Roman"/>
          <w:i/>
        </w:rPr>
        <w:t>Tully</w:t>
      </w:r>
      <w:r w:rsidR="008C6C82">
        <w:rPr>
          <w:rFonts w:ascii="Times New Roman" w:hAnsi="Times New Roman" w:cs="Times New Roman"/>
        </w:rPr>
        <w:t xml:space="preserve">, </w:t>
      </w:r>
      <w:r w:rsidRPr="00456F82">
        <w:rPr>
          <w:rFonts w:ascii="Times New Roman" w:hAnsi="Times New Roman" w:cs="Times New Roman"/>
        </w:rPr>
        <w:t>528 F.2d at 1405 (concluding that section 2038, which is substantially same as section 2036(a)(2) in all relevant respects, does not apply where the power is speculative).</w:t>
      </w:r>
    </w:p>
  </w:footnote>
  <w:footnote w:id="70">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004E25AB" w:rsidRPr="00456F82">
        <w:rPr>
          <w:rFonts w:ascii="Times New Roman" w:hAnsi="Times New Roman" w:cs="Times New Roman"/>
        </w:rPr>
        <w:t>Estate of Powell v. Comm’r, 148 T.C. No. 18</w:t>
      </w:r>
      <w:r w:rsidR="004E25AB">
        <w:rPr>
          <w:rFonts w:ascii="Times New Roman" w:hAnsi="Times New Roman" w:cs="Times New Roman"/>
        </w:rPr>
        <w:t xml:space="preserve">, </w:t>
      </w:r>
      <w:r w:rsidR="004E25AB" w:rsidRPr="00B23ACB">
        <w:rPr>
          <w:rFonts w:ascii="Times New Roman" w:hAnsi="Times New Roman" w:cs="Times New Roman"/>
        </w:rPr>
        <w:t>2017 WL 2211398</w:t>
      </w:r>
      <w:r w:rsidR="004E25AB">
        <w:rPr>
          <w:rFonts w:ascii="Times New Roman" w:hAnsi="Times New Roman" w:cs="Times New Roman"/>
        </w:rPr>
        <w:t xml:space="preserve">, at *5 </w:t>
      </w:r>
      <w:r w:rsidR="004E25AB" w:rsidRPr="00456F82">
        <w:rPr>
          <w:rFonts w:ascii="Times New Roman" w:hAnsi="Times New Roman" w:cs="Times New Roman"/>
        </w:rPr>
        <w:t>(</w:t>
      </w:r>
      <w:r w:rsidR="004E25AB">
        <w:rPr>
          <w:rFonts w:ascii="Times New Roman" w:hAnsi="Times New Roman" w:cs="Times New Roman"/>
        </w:rPr>
        <w:t xml:space="preserve">T.C. </w:t>
      </w:r>
      <w:r w:rsidR="004E25AB" w:rsidRPr="00456F82">
        <w:rPr>
          <w:rFonts w:ascii="Times New Roman" w:hAnsi="Times New Roman" w:cs="Times New Roman"/>
        </w:rPr>
        <w:t>May 18, 2017).</w:t>
      </w:r>
    </w:p>
  </w:footnote>
  <w:footnote w:id="71">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bookmarkStart w:id="91" w:name="OLE_LINK97"/>
      <w:bookmarkStart w:id="92" w:name="OLE_LINK98"/>
      <w:r w:rsidRPr="00456F82">
        <w:rPr>
          <w:rFonts w:ascii="Times New Roman" w:hAnsi="Times New Roman" w:cs="Times New Roman"/>
        </w:rPr>
        <w:t xml:space="preserve">115 T.C. </w:t>
      </w:r>
      <w:r w:rsidR="00352755">
        <w:rPr>
          <w:rFonts w:ascii="Times New Roman" w:hAnsi="Times New Roman" w:cs="Times New Roman"/>
        </w:rPr>
        <w:t>478</w:t>
      </w:r>
      <w:r w:rsidRPr="00456F82">
        <w:rPr>
          <w:rFonts w:ascii="Times New Roman" w:hAnsi="Times New Roman" w:cs="Times New Roman"/>
        </w:rPr>
        <w:t xml:space="preserve"> </w:t>
      </w:r>
      <w:bookmarkEnd w:id="91"/>
      <w:bookmarkEnd w:id="92"/>
      <w:r w:rsidRPr="00456F82">
        <w:rPr>
          <w:rFonts w:ascii="Times New Roman" w:hAnsi="Times New Roman" w:cs="Times New Roman"/>
        </w:rPr>
        <w:t xml:space="preserve">(2000), </w:t>
      </w:r>
      <w:r w:rsidRPr="00456F82">
        <w:rPr>
          <w:rFonts w:ascii="Times New Roman" w:hAnsi="Times New Roman" w:cs="Times New Roman"/>
          <w:i/>
        </w:rPr>
        <w:t>rev’d on other grounds</w:t>
      </w:r>
      <w:r w:rsidRPr="00456F82">
        <w:rPr>
          <w:rFonts w:ascii="Times New Roman" w:hAnsi="Times New Roman" w:cs="Times New Roman"/>
        </w:rPr>
        <w:t xml:space="preserve">, 293 F.3d 279 (5th Cir. 2002). </w:t>
      </w:r>
    </w:p>
  </w:footnote>
  <w:footnote w:id="72">
    <w:p w:rsidR="00557C76" w:rsidRPr="00352755" w:rsidRDefault="00557C76">
      <w:pPr>
        <w:pStyle w:val="FootnoteText"/>
        <w:rPr>
          <w:rFonts w:ascii="Times New Roman" w:hAnsi="Times New Roman" w:cs="Times New Roman"/>
          <w:i/>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00352755">
        <w:rPr>
          <w:rFonts w:ascii="Times New Roman" w:hAnsi="Times New Roman" w:cs="Times New Roman"/>
          <w:i/>
        </w:rPr>
        <w:t xml:space="preserve">Id. </w:t>
      </w:r>
      <w:r w:rsidRPr="00456F82">
        <w:rPr>
          <w:rFonts w:ascii="Times New Roman" w:hAnsi="Times New Roman" w:cs="Times New Roman"/>
        </w:rPr>
        <w:t>at 484.</w:t>
      </w:r>
    </w:p>
  </w:footnote>
  <w:footnote w:id="73">
    <w:p w:rsidR="00557C76" w:rsidRPr="00352755"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456F82">
        <w:rPr>
          <w:rFonts w:ascii="Times New Roman" w:hAnsi="Times New Roman" w:cs="Times New Roman"/>
          <w:i/>
        </w:rPr>
        <w:t>Id.</w:t>
      </w:r>
      <w:r w:rsidRPr="00456F82">
        <w:rPr>
          <w:rFonts w:ascii="Times New Roman" w:hAnsi="Times New Roman" w:cs="Times New Roman"/>
        </w:rPr>
        <w:t xml:space="preserve"> at 489.  The IRS had also unsuccessfully argued against the discounts based on section 2703.</w:t>
      </w:r>
      <w:r w:rsidR="00352755">
        <w:rPr>
          <w:rFonts w:ascii="Times New Roman" w:hAnsi="Times New Roman" w:cs="Times New Roman"/>
        </w:rPr>
        <w:t xml:space="preserve">  </w:t>
      </w:r>
      <w:r w:rsidR="00352755">
        <w:rPr>
          <w:rFonts w:ascii="Times New Roman" w:hAnsi="Times New Roman" w:cs="Times New Roman"/>
          <w:i/>
        </w:rPr>
        <w:t xml:space="preserve">See id. </w:t>
      </w:r>
      <w:r w:rsidR="00352755">
        <w:rPr>
          <w:rFonts w:ascii="Times New Roman" w:hAnsi="Times New Roman" w:cs="Times New Roman"/>
        </w:rPr>
        <w:t>at 488.</w:t>
      </w:r>
    </w:p>
  </w:footnote>
  <w:footnote w:id="74">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The ordinary-course-of-business exception is contained in Treas. Reg. § 25.2512-8.</w:t>
      </w:r>
    </w:p>
  </w:footnote>
  <w:footnote w:id="75">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456F82">
        <w:rPr>
          <w:rFonts w:ascii="Times New Roman" w:hAnsi="Times New Roman" w:cs="Times New Roman"/>
          <w:i/>
        </w:rPr>
        <w:t>Id.</w:t>
      </w:r>
      <w:r w:rsidRPr="00456F82">
        <w:rPr>
          <w:rFonts w:ascii="Times New Roman" w:hAnsi="Times New Roman" w:cs="Times New Roman"/>
        </w:rPr>
        <w:t xml:space="preserve"> </w:t>
      </w:r>
    </w:p>
  </w:footnote>
  <w:footnote w:id="76">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If a transaction is driven by a tax-avoidance motive and desire to pass wealth to family members, it should not qualify for the ordinary-course-of-business exception in Treas. Reg. § 25.2512-8.  For a suggestion that the regulation be amended to incorporate such an analysis, see Mitchell M. Gans, </w:t>
      </w:r>
      <w:r w:rsidRPr="00456F82">
        <w:rPr>
          <w:rFonts w:ascii="Times New Roman" w:hAnsi="Times New Roman" w:cs="Times New Roman"/>
          <w:i/>
        </w:rPr>
        <w:t>Deference and Family Limited Partnerships: A Case Study</w:t>
      </w:r>
      <w:r w:rsidRPr="00456F82">
        <w:rPr>
          <w:rFonts w:ascii="Times New Roman" w:hAnsi="Times New Roman" w:cs="Times New Roman"/>
        </w:rPr>
        <w:t xml:space="preserve">, </w:t>
      </w:r>
      <w:r w:rsidRPr="00456F82">
        <w:rPr>
          <w:rFonts w:ascii="Times New Roman" w:hAnsi="Times New Roman" w:cs="Times New Roman"/>
          <w:iCs/>
        </w:rPr>
        <w:t xml:space="preserve">39 </w:t>
      </w:r>
      <w:r w:rsidR="001A37DB">
        <w:rPr>
          <w:rFonts w:ascii="Times New Roman" w:hAnsi="Times New Roman" w:cs="Times New Roman"/>
          <w:iCs/>
        </w:rPr>
        <w:t>U.</w:t>
      </w:r>
      <w:r w:rsidR="001A37DB" w:rsidRPr="001A37DB">
        <w:rPr>
          <w:rFonts w:ascii="Times New Roman" w:hAnsi="Times New Roman" w:cs="Times New Roman"/>
          <w:iCs/>
          <w:smallCaps/>
        </w:rPr>
        <w:t xml:space="preserve"> Miami</w:t>
      </w:r>
      <w:r w:rsidR="001A37DB">
        <w:rPr>
          <w:rFonts w:ascii="Times New Roman" w:hAnsi="Times New Roman" w:cs="Times New Roman"/>
          <w:iCs/>
        </w:rPr>
        <w:t xml:space="preserve"> </w:t>
      </w:r>
      <w:r w:rsidRPr="00456F82">
        <w:rPr>
          <w:rFonts w:ascii="Times New Roman" w:hAnsi="Times New Roman" w:cs="Times New Roman"/>
          <w:iCs/>
          <w:smallCaps/>
        </w:rPr>
        <w:t>Heckerling Institute on Est. Plan</w:t>
      </w:r>
      <w:r w:rsidRPr="00456F82">
        <w:rPr>
          <w:rFonts w:ascii="Times New Roman" w:hAnsi="Times New Roman" w:cs="Times New Roman"/>
          <w:iCs/>
        </w:rPr>
        <w:t xml:space="preserve">. </w:t>
      </w:r>
      <w:r w:rsidR="001A37DB">
        <w:rPr>
          <w:rFonts w:ascii="Times New Roman" w:hAnsi="Times New Roman" w:cs="Times New Roman"/>
          <w:iCs/>
        </w:rPr>
        <w:t>c</w:t>
      </w:r>
      <w:r w:rsidRPr="00456F82">
        <w:rPr>
          <w:rFonts w:ascii="Times New Roman" w:hAnsi="Times New Roman" w:cs="Times New Roman"/>
          <w:iCs/>
        </w:rPr>
        <w:t>h.</w:t>
      </w:r>
      <w:r w:rsidR="001A37DB">
        <w:rPr>
          <w:rFonts w:ascii="Times New Roman" w:hAnsi="Times New Roman" w:cs="Times New Roman"/>
          <w:iCs/>
        </w:rPr>
        <w:t xml:space="preserve"> </w:t>
      </w:r>
      <w:r w:rsidRPr="00456F82">
        <w:rPr>
          <w:rFonts w:ascii="Times New Roman" w:hAnsi="Times New Roman" w:cs="Times New Roman"/>
          <w:iCs/>
        </w:rPr>
        <w:t>5 (2005).</w:t>
      </w:r>
    </w:p>
  </w:footnote>
  <w:footnote w:id="77">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293 F.3d 279 (5th Cir. 2002)</w:t>
      </w:r>
      <w:r w:rsidR="001A37DB">
        <w:rPr>
          <w:rFonts w:ascii="Times New Roman" w:hAnsi="Times New Roman" w:cs="Times New Roman"/>
        </w:rPr>
        <w:t>.</w:t>
      </w:r>
    </w:p>
  </w:footnote>
  <w:footnote w:id="78">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The Fifth Circuit remanded for the Tax Court to consider the applicability of section 2036.  </w:t>
      </w:r>
      <w:r w:rsidRPr="00456F82">
        <w:rPr>
          <w:rFonts w:ascii="Times New Roman" w:hAnsi="Times New Roman" w:cs="Times New Roman"/>
          <w:i/>
        </w:rPr>
        <w:t>Id.</w:t>
      </w:r>
      <w:r w:rsidRPr="00456F82">
        <w:rPr>
          <w:rFonts w:ascii="Times New Roman" w:hAnsi="Times New Roman" w:cs="Times New Roman"/>
        </w:rPr>
        <w:t xml:space="preserve"> at 281-82.</w:t>
      </w:r>
    </w:p>
  </w:footnote>
  <w:footnote w:id="79">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The IRS had previously sought to invoke section 2036 in the partnership context in </w:t>
      </w:r>
      <w:r w:rsidRPr="00456F82">
        <w:rPr>
          <w:rFonts w:ascii="Times New Roman" w:hAnsi="Times New Roman" w:cs="Times New Roman"/>
          <w:i/>
        </w:rPr>
        <w:t>Estate of Harrison v. Commissioner</w:t>
      </w:r>
      <w:r w:rsidRPr="00456F82">
        <w:rPr>
          <w:rFonts w:ascii="Times New Roman" w:hAnsi="Times New Roman" w:cs="Times New Roman"/>
        </w:rPr>
        <w:t xml:space="preserve">, </w:t>
      </w:r>
      <w:bookmarkStart w:id="93" w:name="OLE_LINK99"/>
      <w:bookmarkStart w:id="94" w:name="OLE_LINK100"/>
      <w:r w:rsidRPr="00456F82">
        <w:rPr>
          <w:rFonts w:ascii="Times New Roman" w:hAnsi="Times New Roman" w:cs="Times New Roman"/>
        </w:rPr>
        <w:t>T</w:t>
      </w:r>
      <w:r w:rsidR="001A37DB">
        <w:rPr>
          <w:rFonts w:ascii="Times New Roman" w:hAnsi="Times New Roman" w:cs="Times New Roman"/>
        </w:rPr>
        <w:t>.</w:t>
      </w:r>
      <w:r w:rsidRPr="00456F82">
        <w:rPr>
          <w:rFonts w:ascii="Times New Roman" w:hAnsi="Times New Roman" w:cs="Times New Roman"/>
        </w:rPr>
        <w:t>C</w:t>
      </w:r>
      <w:r w:rsidR="001A37DB">
        <w:rPr>
          <w:rFonts w:ascii="Times New Roman" w:hAnsi="Times New Roman" w:cs="Times New Roman"/>
        </w:rPr>
        <w:t>.</w:t>
      </w:r>
      <w:r w:rsidRPr="00456F82">
        <w:rPr>
          <w:rFonts w:ascii="Times New Roman" w:hAnsi="Times New Roman" w:cs="Times New Roman"/>
        </w:rPr>
        <w:t xml:space="preserve"> Memo</w:t>
      </w:r>
      <w:r w:rsidR="001A37DB">
        <w:rPr>
          <w:rFonts w:ascii="Times New Roman" w:hAnsi="Times New Roman" w:cs="Times New Roman"/>
        </w:rPr>
        <w:t>.</w:t>
      </w:r>
      <w:r w:rsidRPr="00456F82">
        <w:rPr>
          <w:rFonts w:ascii="Times New Roman" w:hAnsi="Times New Roman" w:cs="Times New Roman"/>
        </w:rPr>
        <w:t xml:space="preserve"> 1987-8</w:t>
      </w:r>
      <w:bookmarkEnd w:id="93"/>
      <w:bookmarkEnd w:id="94"/>
      <w:r w:rsidR="001A37DB">
        <w:rPr>
          <w:rFonts w:ascii="Times New Roman" w:hAnsi="Times New Roman" w:cs="Times New Roman"/>
        </w:rPr>
        <w:t xml:space="preserve">, </w:t>
      </w:r>
      <w:r w:rsidR="001A37DB" w:rsidRPr="001A37DB">
        <w:rPr>
          <w:rFonts w:ascii="Times New Roman" w:hAnsi="Times New Roman" w:cs="Times New Roman"/>
        </w:rPr>
        <w:t>52 T.C.M. (CCH) 1306</w:t>
      </w:r>
      <w:r w:rsidR="001A37DB">
        <w:rPr>
          <w:rFonts w:ascii="Times New Roman" w:hAnsi="Times New Roman" w:cs="Times New Roman"/>
        </w:rPr>
        <w:t xml:space="preserve"> (1987)</w:t>
      </w:r>
      <w:r w:rsidRPr="00456F82">
        <w:rPr>
          <w:rFonts w:ascii="Times New Roman" w:hAnsi="Times New Roman" w:cs="Times New Roman"/>
        </w:rPr>
        <w:t>.</w:t>
      </w:r>
    </w:p>
  </w:footnote>
  <w:footnote w:id="80">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For a case where the court had difficulty with this issue but nonetheless concluded that section 2036(a)(1) applied, see </w:t>
      </w:r>
      <w:r w:rsidRPr="00456F82">
        <w:rPr>
          <w:rFonts w:ascii="Times New Roman" w:hAnsi="Times New Roman" w:cs="Times New Roman"/>
          <w:i/>
        </w:rPr>
        <w:t>Estate of Bongard v. Commissioner</w:t>
      </w:r>
      <w:r w:rsidRPr="00456F82">
        <w:rPr>
          <w:rFonts w:ascii="Times New Roman" w:hAnsi="Times New Roman" w:cs="Times New Roman"/>
        </w:rPr>
        <w:t xml:space="preserve">, 124 T.C. 95 (2005). </w:t>
      </w:r>
    </w:p>
  </w:footnote>
  <w:footnote w:id="81">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456F82">
        <w:rPr>
          <w:rFonts w:ascii="Times New Roman" w:hAnsi="Times New Roman" w:cs="Times New Roman"/>
          <w:i/>
        </w:rPr>
        <w:t>See, e.g.</w:t>
      </w:r>
      <w:r w:rsidRPr="00456F82">
        <w:rPr>
          <w:rFonts w:ascii="Times New Roman" w:hAnsi="Times New Roman" w:cs="Times New Roman"/>
        </w:rPr>
        <w:t xml:space="preserve">, Estate of Stone v. Comm’r, </w:t>
      </w:r>
      <w:bookmarkStart w:id="95" w:name="OLE_LINK101"/>
      <w:bookmarkStart w:id="96" w:name="OLE_LINK102"/>
      <w:r w:rsidRPr="00456F82">
        <w:rPr>
          <w:rFonts w:ascii="Times New Roman" w:hAnsi="Times New Roman" w:cs="Times New Roman"/>
        </w:rPr>
        <w:t>T.C. Memo</w:t>
      </w:r>
      <w:r w:rsidR="001A37DB">
        <w:rPr>
          <w:rFonts w:ascii="Times New Roman" w:hAnsi="Times New Roman" w:cs="Times New Roman"/>
        </w:rPr>
        <w:t>.</w:t>
      </w:r>
      <w:r w:rsidRPr="00456F82">
        <w:rPr>
          <w:rFonts w:ascii="Times New Roman" w:hAnsi="Times New Roman" w:cs="Times New Roman"/>
        </w:rPr>
        <w:t xml:space="preserve"> 2003-309</w:t>
      </w:r>
      <w:r w:rsidR="001A37DB">
        <w:rPr>
          <w:rFonts w:ascii="Times New Roman" w:hAnsi="Times New Roman" w:cs="Times New Roman"/>
        </w:rPr>
        <w:t xml:space="preserve">, </w:t>
      </w:r>
      <w:r w:rsidR="001A37DB" w:rsidRPr="001A37DB">
        <w:rPr>
          <w:rFonts w:ascii="Times New Roman" w:hAnsi="Times New Roman" w:cs="Times New Roman"/>
        </w:rPr>
        <w:t>86 T.C.M. (CCH) 551</w:t>
      </w:r>
      <w:r w:rsidR="001A37DB">
        <w:rPr>
          <w:rFonts w:ascii="Times New Roman" w:hAnsi="Times New Roman" w:cs="Times New Roman"/>
        </w:rPr>
        <w:t xml:space="preserve"> (2003)</w:t>
      </w:r>
      <w:r w:rsidRPr="00456F82">
        <w:rPr>
          <w:rFonts w:ascii="Times New Roman" w:hAnsi="Times New Roman" w:cs="Times New Roman"/>
        </w:rPr>
        <w:t xml:space="preserve"> </w:t>
      </w:r>
      <w:bookmarkEnd w:id="95"/>
      <w:bookmarkEnd w:id="96"/>
      <w:r w:rsidRPr="00456F82">
        <w:rPr>
          <w:rFonts w:ascii="Times New Roman" w:hAnsi="Times New Roman" w:cs="Times New Roman"/>
        </w:rPr>
        <w:t>(refusing to apply section 2036(a)(1) on the ground, in part, that an accountant’s analysis at the time of partnership formation showed that the decedent had retained sufficient assets outside of the partnership).</w:t>
      </w:r>
    </w:p>
  </w:footnote>
  <w:footnote w:id="82">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1A056B">
        <w:rPr>
          <w:rFonts w:ascii="Times New Roman" w:hAnsi="Times New Roman" w:cs="Times New Roman"/>
          <w:i/>
        </w:rPr>
        <w:t>See</w:t>
      </w:r>
      <w:r w:rsidRPr="00456F82">
        <w:rPr>
          <w:rFonts w:ascii="Times New Roman" w:hAnsi="Times New Roman" w:cs="Times New Roman"/>
        </w:rPr>
        <w:t xml:space="preserve"> Wheeler v. United States, 116 F.3d 749, 763-64 (5th Cir. 1997) (explaining, in a case arising prior to the use of section 2036 in the partnership context, the limited function of the “bona fide” component in the application of the exception and how the exception should apply to prevent double inclusion where the decedent received a substitute asset with a value equal to the transferred asset).</w:t>
      </w:r>
    </w:p>
  </w:footnote>
  <w:footnote w:id="83">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456F82">
        <w:rPr>
          <w:rFonts w:ascii="Times New Roman" w:hAnsi="Times New Roman" w:cs="Times New Roman"/>
          <w:i/>
        </w:rPr>
        <w:t>See</w:t>
      </w:r>
      <w:r w:rsidRPr="00456F82">
        <w:rPr>
          <w:rFonts w:ascii="Times New Roman" w:hAnsi="Times New Roman" w:cs="Times New Roman"/>
        </w:rPr>
        <w:t xml:space="preserve"> Estate of Bongard v. Comm’r, </w:t>
      </w:r>
      <w:bookmarkStart w:id="97" w:name="OLE_LINK103"/>
      <w:r w:rsidRPr="00456F82">
        <w:rPr>
          <w:rFonts w:ascii="Times New Roman" w:hAnsi="Times New Roman" w:cs="Times New Roman"/>
        </w:rPr>
        <w:t xml:space="preserve">124 T.C. </w:t>
      </w:r>
      <w:r w:rsidR="001A056B">
        <w:rPr>
          <w:rFonts w:ascii="Times New Roman" w:hAnsi="Times New Roman" w:cs="Times New Roman"/>
        </w:rPr>
        <w:t xml:space="preserve">95, </w:t>
      </w:r>
      <w:r w:rsidRPr="00456F82">
        <w:rPr>
          <w:rFonts w:ascii="Times New Roman" w:hAnsi="Times New Roman" w:cs="Times New Roman"/>
        </w:rPr>
        <w:t xml:space="preserve">124 </w:t>
      </w:r>
      <w:bookmarkEnd w:id="97"/>
      <w:r w:rsidR="001A056B">
        <w:rPr>
          <w:rFonts w:ascii="Times New Roman" w:hAnsi="Times New Roman" w:cs="Times New Roman"/>
        </w:rPr>
        <w:t xml:space="preserve">(2005) </w:t>
      </w:r>
      <w:r w:rsidRPr="00456F82">
        <w:rPr>
          <w:rFonts w:ascii="Times New Roman" w:hAnsi="Times New Roman" w:cs="Times New Roman"/>
        </w:rPr>
        <w:t>(requiring non-tax purpose as well as proper crediting to the capital account for an estate seeking to invoke the “bona fide” exception).</w:t>
      </w:r>
    </w:p>
  </w:footnote>
  <w:footnote w:id="84">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456F82">
        <w:rPr>
          <w:rFonts w:ascii="Times New Roman" w:hAnsi="Times New Roman" w:cs="Times New Roman"/>
          <w:i/>
        </w:rPr>
        <w:t>See</w:t>
      </w:r>
      <w:r w:rsidRPr="00456F82">
        <w:rPr>
          <w:rFonts w:ascii="Times New Roman" w:hAnsi="Times New Roman" w:cs="Times New Roman"/>
        </w:rPr>
        <w:t xml:space="preserve"> Estate of Trombetta v. Comm’r, </w:t>
      </w:r>
      <w:bookmarkStart w:id="98" w:name="OLE_LINK104"/>
      <w:bookmarkStart w:id="99" w:name="OLE_LINK105"/>
      <w:r w:rsidRPr="00456F82">
        <w:rPr>
          <w:rFonts w:ascii="Times New Roman" w:hAnsi="Times New Roman" w:cs="Times New Roman"/>
        </w:rPr>
        <w:t>T.C. Memo</w:t>
      </w:r>
      <w:r w:rsidR="001A056B">
        <w:rPr>
          <w:rFonts w:ascii="Times New Roman" w:hAnsi="Times New Roman" w:cs="Times New Roman"/>
        </w:rPr>
        <w:t>.</w:t>
      </w:r>
      <w:r w:rsidRPr="00456F82">
        <w:rPr>
          <w:rFonts w:ascii="Times New Roman" w:hAnsi="Times New Roman" w:cs="Times New Roman"/>
        </w:rPr>
        <w:t xml:space="preserve"> 2013-234</w:t>
      </w:r>
      <w:r w:rsidR="001A056B">
        <w:rPr>
          <w:rFonts w:ascii="Times New Roman" w:hAnsi="Times New Roman" w:cs="Times New Roman"/>
        </w:rPr>
        <w:t xml:space="preserve">, </w:t>
      </w:r>
      <w:r w:rsidR="001A056B" w:rsidRPr="001A056B">
        <w:rPr>
          <w:rFonts w:ascii="Times New Roman" w:hAnsi="Times New Roman" w:cs="Times New Roman"/>
        </w:rPr>
        <w:t>106 T.C.M. (CCH) 416</w:t>
      </w:r>
      <w:r w:rsidR="001A056B">
        <w:rPr>
          <w:rFonts w:ascii="Times New Roman" w:hAnsi="Times New Roman" w:cs="Times New Roman"/>
        </w:rPr>
        <w:t>, at *10 (2013)</w:t>
      </w:r>
      <w:r w:rsidRPr="00456F82">
        <w:rPr>
          <w:rFonts w:ascii="Times New Roman" w:hAnsi="Times New Roman" w:cs="Times New Roman"/>
        </w:rPr>
        <w:t xml:space="preserve"> </w:t>
      </w:r>
      <w:bookmarkEnd w:id="98"/>
      <w:bookmarkEnd w:id="99"/>
      <w:r w:rsidRPr="00456F82">
        <w:rPr>
          <w:rFonts w:ascii="Times New Roman" w:hAnsi="Times New Roman" w:cs="Times New Roman"/>
        </w:rPr>
        <w:t xml:space="preserve">(“Although a number of cases have applied the ‘legitimate and significant nontax reasons’ to determine whether a bona fide sale exception was satisfied, all of the cases applied the standard in the context of a transfer to a family limited partnership.”).  </w:t>
      </w:r>
      <w:r w:rsidRPr="00456F82">
        <w:rPr>
          <w:rFonts w:ascii="Times New Roman" w:hAnsi="Times New Roman" w:cs="Times New Roman"/>
          <w:i/>
        </w:rPr>
        <w:t>Cf.</w:t>
      </w:r>
      <w:r w:rsidR="001A056B">
        <w:rPr>
          <w:rFonts w:ascii="Times New Roman" w:hAnsi="Times New Roman" w:cs="Times New Roman"/>
          <w:i/>
        </w:rPr>
        <w:t xml:space="preserve"> </w:t>
      </w:r>
      <w:r w:rsidRPr="00456F82">
        <w:rPr>
          <w:rFonts w:ascii="Times New Roman" w:hAnsi="Times New Roman" w:cs="Times New Roman"/>
        </w:rPr>
        <w:t>Estate of Hughes</w:t>
      </w:r>
      <w:r w:rsidR="001A056B">
        <w:rPr>
          <w:rFonts w:ascii="Times New Roman" w:hAnsi="Times New Roman" w:cs="Times New Roman"/>
        </w:rPr>
        <w:t xml:space="preserve"> v. Comm’r</w:t>
      </w:r>
      <w:r w:rsidRPr="00456F82">
        <w:rPr>
          <w:rFonts w:ascii="Times New Roman" w:hAnsi="Times New Roman" w:cs="Times New Roman"/>
        </w:rPr>
        <w:t xml:space="preserve">, T.C. </w:t>
      </w:r>
      <w:bookmarkStart w:id="100" w:name="OLE_LINK106"/>
      <w:bookmarkStart w:id="101" w:name="OLE_LINK107"/>
      <w:r w:rsidRPr="00456F82">
        <w:rPr>
          <w:rFonts w:ascii="Times New Roman" w:hAnsi="Times New Roman" w:cs="Times New Roman"/>
        </w:rPr>
        <w:t>Memo</w:t>
      </w:r>
      <w:r w:rsidR="001A056B">
        <w:rPr>
          <w:rFonts w:ascii="Times New Roman" w:hAnsi="Times New Roman" w:cs="Times New Roman"/>
        </w:rPr>
        <w:t>.</w:t>
      </w:r>
      <w:r w:rsidRPr="00456F82">
        <w:rPr>
          <w:rFonts w:ascii="Times New Roman" w:hAnsi="Times New Roman" w:cs="Times New Roman"/>
        </w:rPr>
        <w:t xml:space="preserve"> 2005-296</w:t>
      </w:r>
      <w:r w:rsidR="001A056B">
        <w:rPr>
          <w:rFonts w:ascii="Times New Roman" w:hAnsi="Times New Roman" w:cs="Times New Roman"/>
        </w:rPr>
        <w:t xml:space="preserve">, </w:t>
      </w:r>
      <w:r w:rsidR="00010880">
        <w:rPr>
          <w:rFonts w:ascii="Times New Roman" w:hAnsi="Times New Roman" w:cs="Times New Roman"/>
        </w:rPr>
        <w:t>90 T.C.M. (CCH) 630 (2005)</w:t>
      </w:r>
      <w:r w:rsidRPr="00456F82">
        <w:rPr>
          <w:rFonts w:ascii="Times New Roman" w:hAnsi="Times New Roman" w:cs="Times New Roman"/>
        </w:rPr>
        <w:t xml:space="preserve"> </w:t>
      </w:r>
      <w:bookmarkEnd w:id="100"/>
      <w:bookmarkEnd w:id="101"/>
      <w:r w:rsidRPr="00456F82">
        <w:rPr>
          <w:rFonts w:ascii="Times New Roman" w:hAnsi="Times New Roman" w:cs="Times New Roman"/>
        </w:rPr>
        <w:t xml:space="preserve">(intimating that the exception requires a showing of good faith in addition to a showing that the decedent had received adequate consideration).  For a discussion of </w:t>
      </w:r>
      <w:r w:rsidRPr="00456F82">
        <w:rPr>
          <w:rFonts w:ascii="Times New Roman" w:hAnsi="Times New Roman" w:cs="Times New Roman"/>
          <w:i/>
        </w:rPr>
        <w:t>Trombetta</w:t>
      </w:r>
      <w:r w:rsidRPr="00456F82">
        <w:rPr>
          <w:rFonts w:ascii="Times New Roman" w:hAnsi="Times New Roman" w:cs="Times New Roman"/>
        </w:rPr>
        <w:t xml:space="preserve">, see Mitchell M. Gans </w:t>
      </w:r>
      <w:r w:rsidR="00010880">
        <w:rPr>
          <w:rFonts w:ascii="Times New Roman" w:hAnsi="Times New Roman" w:cs="Times New Roman"/>
        </w:rPr>
        <w:t>&amp;</w:t>
      </w:r>
      <w:r w:rsidRPr="00456F82">
        <w:rPr>
          <w:rFonts w:ascii="Times New Roman" w:hAnsi="Times New Roman" w:cs="Times New Roman"/>
        </w:rPr>
        <w:t xml:space="preserve"> Jonathan G. Blattmachr, </w:t>
      </w:r>
      <w:r w:rsidRPr="00456F82">
        <w:rPr>
          <w:rStyle w:val="Emphasis"/>
          <w:rFonts w:ascii="Times New Roman" w:hAnsi="Times New Roman" w:cs="Times New Roman"/>
        </w:rPr>
        <w:t xml:space="preserve">Private Annuities and Installment Sales: </w:t>
      </w:r>
      <w:r w:rsidRPr="00010880">
        <w:rPr>
          <w:rStyle w:val="Emphasis"/>
          <w:rFonts w:ascii="Times New Roman" w:hAnsi="Times New Roman" w:cs="Times New Roman"/>
          <w:i w:val="0"/>
        </w:rPr>
        <w:t>Trombetta</w:t>
      </w:r>
      <w:r w:rsidRPr="00456F82">
        <w:rPr>
          <w:rStyle w:val="Emphasis"/>
          <w:rFonts w:ascii="Times New Roman" w:hAnsi="Times New Roman" w:cs="Times New Roman"/>
        </w:rPr>
        <w:t xml:space="preserve"> and Section 2036</w:t>
      </w:r>
      <w:r w:rsidRPr="00456F82">
        <w:rPr>
          <w:rFonts w:ascii="Times New Roman" w:hAnsi="Times New Roman" w:cs="Times New Roman"/>
        </w:rPr>
        <w:t xml:space="preserve">, 120 </w:t>
      </w:r>
      <w:r w:rsidRPr="00456F82">
        <w:rPr>
          <w:rStyle w:val="smallcaps"/>
          <w:rFonts w:ascii="Times New Roman" w:hAnsi="Times New Roman" w:cs="Times New Roman"/>
          <w:smallCaps/>
        </w:rPr>
        <w:t>J. Tax'n</w:t>
      </w:r>
      <w:r w:rsidRPr="00456F82">
        <w:rPr>
          <w:rFonts w:ascii="Times New Roman" w:hAnsi="Times New Roman" w:cs="Times New Roman"/>
        </w:rPr>
        <w:t xml:space="preserve"> 227 (2014).  Note also that, in 2009, Treas. Reg. </w:t>
      </w:r>
      <w:r w:rsidR="00010880" w:rsidRPr="00456F82">
        <w:rPr>
          <w:rFonts w:ascii="Times New Roman" w:hAnsi="Times New Roman" w:cs="Times New Roman"/>
        </w:rPr>
        <w:t>§</w:t>
      </w:r>
      <w:r w:rsidR="00010880">
        <w:rPr>
          <w:rFonts w:ascii="Times New Roman" w:hAnsi="Times New Roman" w:cs="Times New Roman"/>
        </w:rPr>
        <w:t xml:space="preserve"> </w:t>
      </w:r>
      <w:r w:rsidRPr="00456F82">
        <w:rPr>
          <w:rFonts w:ascii="Times New Roman" w:hAnsi="Times New Roman" w:cs="Times New Roman"/>
        </w:rPr>
        <w:t>20.2053-4(d)(5) was amended to provide that a deduction for a claim against the estate is only permitted if it was the product of arm’s length bargaining.  To what extent this additional requirement stems from the reshaping of the bona fide provision in the partnership context is not clear.</w:t>
      </w:r>
    </w:p>
  </w:footnote>
  <w:footnote w:id="85">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Comm’r v. Estate of Church, </w:t>
      </w:r>
      <w:bookmarkStart w:id="102" w:name="OLE_LINK75"/>
      <w:r w:rsidRPr="00456F82">
        <w:rPr>
          <w:rFonts w:ascii="Times New Roman" w:hAnsi="Times New Roman" w:cs="Times New Roman"/>
        </w:rPr>
        <w:t>335 U.S. 632</w:t>
      </w:r>
      <w:bookmarkEnd w:id="102"/>
      <w:r w:rsidRPr="00456F82">
        <w:rPr>
          <w:rFonts w:ascii="Times New Roman" w:hAnsi="Times New Roman" w:cs="Times New Roman"/>
        </w:rPr>
        <w:t xml:space="preserve">, 646 (1949) (“Testamentary dispositions of an </w:t>
      </w:r>
      <w:r w:rsidRPr="00456F82">
        <w:rPr>
          <w:rFonts w:ascii="Times New Roman" w:hAnsi="Times New Roman" w:cs="Times New Roman"/>
          <w:i/>
        </w:rPr>
        <w:t>inter vivos</w:t>
      </w:r>
      <w:r w:rsidRPr="00456F82">
        <w:rPr>
          <w:rFonts w:ascii="Times New Roman" w:hAnsi="Times New Roman" w:cs="Times New Roman"/>
        </w:rPr>
        <w:t xml:space="preserve"> nature cannot escape the force of this section b</w:t>
      </w:r>
      <w:r w:rsidR="00010880">
        <w:rPr>
          <w:rFonts w:ascii="Times New Roman" w:hAnsi="Times New Roman" w:cs="Times New Roman"/>
        </w:rPr>
        <w:t>y hiding behind legal niceties . . . .</w:t>
      </w:r>
      <w:r w:rsidRPr="00456F82">
        <w:rPr>
          <w:rFonts w:ascii="Times New Roman" w:hAnsi="Times New Roman" w:cs="Times New Roman"/>
        </w:rPr>
        <w:t>”).</w:t>
      </w:r>
    </w:p>
  </w:footnote>
  <w:footnote w:id="86">
    <w:p w:rsidR="00557C76" w:rsidRPr="00010880" w:rsidRDefault="00557C76">
      <w:pPr>
        <w:pStyle w:val="FootnoteText"/>
        <w:rPr>
          <w:rFonts w:ascii="Times New Roman" w:hAnsi="Times New Roman" w:cs="Times New Roman"/>
        </w:rPr>
      </w:pPr>
      <w:r w:rsidRPr="00010880">
        <w:rPr>
          <w:rStyle w:val="FootnoteReference"/>
          <w:rFonts w:ascii="Times New Roman" w:hAnsi="Times New Roman" w:cs="Times New Roman"/>
        </w:rPr>
        <w:footnoteRef/>
      </w:r>
      <w:r w:rsidRPr="004F45E9">
        <w:rPr>
          <w:rFonts w:ascii="Times New Roman" w:hAnsi="Times New Roman" w:cs="Times New Roman"/>
        </w:rPr>
        <w:t xml:space="preserve"> See</w:t>
      </w:r>
      <w:r w:rsidRPr="00010880">
        <w:rPr>
          <w:rFonts w:ascii="Times New Roman" w:hAnsi="Times New Roman" w:cs="Times New Roman"/>
          <w:i/>
        </w:rPr>
        <w:t xml:space="preserve"> </w:t>
      </w:r>
      <w:r w:rsidR="00010880">
        <w:rPr>
          <w:rFonts w:ascii="Times New Roman" w:hAnsi="Times New Roman" w:cs="Times New Roman"/>
        </w:rPr>
        <w:t>Jonathan G. Blattmachr, Mitchell M.</w:t>
      </w:r>
      <w:r w:rsidRPr="00010880">
        <w:rPr>
          <w:rFonts w:ascii="Times New Roman" w:hAnsi="Times New Roman" w:cs="Times New Roman"/>
        </w:rPr>
        <w:t xml:space="preserve"> Gans &amp; D</w:t>
      </w:r>
      <w:r w:rsidR="00010880">
        <w:rPr>
          <w:rFonts w:ascii="Times New Roman" w:hAnsi="Times New Roman" w:cs="Times New Roman"/>
        </w:rPr>
        <w:t>iana S.C</w:t>
      </w:r>
      <w:bookmarkStart w:id="103" w:name="OLE_LINK108"/>
      <w:r w:rsidR="00010880">
        <w:rPr>
          <w:rFonts w:ascii="Times New Roman" w:hAnsi="Times New Roman" w:cs="Times New Roman"/>
        </w:rPr>
        <w:t xml:space="preserve">. Zeydel, </w:t>
      </w:r>
      <w:r w:rsidRPr="00010880">
        <w:rPr>
          <w:rFonts w:ascii="Times New Roman" w:hAnsi="Times New Roman" w:cs="Times New Roman"/>
        </w:rPr>
        <w:t>Turner II</w:t>
      </w:r>
      <w:r w:rsidRPr="00010880">
        <w:rPr>
          <w:rFonts w:ascii="Times New Roman" w:hAnsi="Times New Roman" w:cs="Times New Roman"/>
          <w:i/>
        </w:rPr>
        <w:t xml:space="preserve"> and Family Partnerships: Avoiding pro</w:t>
      </w:r>
      <w:r w:rsidR="00010880" w:rsidRPr="00010880">
        <w:rPr>
          <w:rFonts w:ascii="Times New Roman" w:hAnsi="Times New Roman" w:cs="Times New Roman"/>
          <w:i/>
        </w:rPr>
        <w:t>blems and Securing Opportunity</w:t>
      </w:r>
      <w:r w:rsidR="00010880">
        <w:rPr>
          <w:rFonts w:ascii="Times New Roman" w:hAnsi="Times New Roman" w:cs="Times New Roman"/>
        </w:rPr>
        <w:t xml:space="preserve">, 117 </w:t>
      </w:r>
      <w:r w:rsidR="00010880" w:rsidRPr="00010880">
        <w:rPr>
          <w:rFonts w:ascii="Times New Roman" w:hAnsi="Times New Roman" w:cs="Times New Roman"/>
          <w:smallCaps/>
        </w:rPr>
        <w:t>J. Tax’</w:t>
      </w:r>
      <w:r w:rsidRPr="00010880">
        <w:rPr>
          <w:rFonts w:ascii="Times New Roman" w:hAnsi="Times New Roman" w:cs="Times New Roman"/>
          <w:smallCaps/>
        </w:rPr>
        <w:t>n</w:t>
      </w:r>
      <w:bookmarkEnd w:id="103"/>
      <w:r w:rsidRPr="00010880">
        <w:rPr>
          <w:rFonts w:ascii="Times New Roman" w:hAnsi="Times New Roman" w:cs="Times New Roman"/>
          <w:i/>
        </w:rPr>
        <w:t xml:space="preserve"> </w:t>
      </w:r>
      <w:r w:rsidRPr="00010880">
        <w:rPr>
          <w:rFonts w:ascii="Times New Roman" w:hAnsi="Times New Roman" w:cs="Times New Roman"/>
        </w:rPr>
        <w:t>32</w:t>
      </w:r>
      <w:r w:rsidRPr="00010880">
        <w:rPr>
          <w:rFonts w:ascii="Times New Roman" w:hAnsi="Times New Roman" w:cs="Times New Roman"/>
          <w:i/>
        </w:rPr>
        <w:t xml:space="preserve"> </w:t>
      </w:r>
      <w:r w:rsidR="00010880">
        <w:rPr>
          <w:rFonts w:ascii="Times New Roman" w:hAnsi="Times New Roman" w:cs="Times New Roman"/>
        </w:rPr>
        <w:t>(</w:t>
      </w:r>
      <w:r w:rsidRPr="00010880">
        <w:rPr>
          <w:rFonts w:ascii="Times New Roman" w:hAnsi="Times New Roman" w:cs="Times New Roman"/>
        </w:rPr>
        <w:t>2012), for a discussion of this double inclusion issue.</w:t>
      </w:r>
    </w:p>
  </w:footnote>
  <w:footnote w:id="87">
    <w:p w:rsidR="00557C76" w:rsidRPr="00456F82" w:rsidRDefault="00557C76">
      <w:pPr>
        <w:pStyle w:val="FootnoteText"/>
        <w:rPr>
          <w:rFonts w:ascii="Times New Roman" w:hAnsi="Times New Roman" w:cs="Times New Roman"/>
        </w:rPr>
      </w:pPr>
      <w:r w:rsidRPr="00010880">
        <w:rPr>
          <w:rStyle w:val="FootnoteReference"/>
          <w:rFonts w:ascii="Times New Roman" w:hAnsi="Times New Roman" w:cs="Times New Roman"/>
        </w:rPr>
        <w:footnoteRef/>
      </w:r>
      <w:r w:rsidRPr="00010880">
        <w:rPr>
          <w:rFonts w:ascii="Times New Roman" w:hAnsi="Times New Roman" w:cs="Times New Roman"/>
        </w:rPr>
        <w:t xml:space="preserve"> </w:t>
      </w:r>
      <w:r w:rsidR="004F45E9" w:rsidRPr="00456F82">
        <w:rPr>
          <w:rFonts w:ascii="Times New Roman" w:hAnsi="Times New Roman" w:cs="Times New Roman"/>
        </w:rPr>
        <w:t>Estate of Powell v. Comm’r, 148 T.C. No. 18</w:t>
      </w:r>
      <w:r w:rsidR="004F45E9">
        <w:rPr>
          <w:rFonts w:ascii="Times New Roman" w:hAnsi="Times New Roman" w:cs="Times New Roman"/>
        </w:rPr>
        <w:t xml:space="preserve">, </w:t>
      </w:r>
      <w:bookmarkStart w:id="104" w:name="OLE_LINK110"/>
      <w:bookmarkStart w:id="105" w:name="OLE_LINK111"/>
      <w:r w:rsidR="004F45E9" w:rsidRPr="00B23ACB">
        <w:rPr>
          <w:rFonts w:ascii="Times New Roman" w:hAnsi="Times New Roman" w:cs="Times New Roman"/>
        </w:rPr>
        <w:t>2017 WL 2211398</w:t>
      </w:r>
      <w:r w:rsidR="004F45E9">
        <w:rPr>
          <w:rFonts w:ascii="Times New Roman" w:hAnsi="Times New Roman" w:cs="Times New Roman"/>
        </w:rPr>
        <w:t>, at *17</w:t>
      </w:r>
      <w:r w:rsidR="004F45E9" w:rsidRPr="00456F82">
        <w:rPr>
          <w:rFonts w:ascii="Times New Roman" w:hAnsi="Times New Roman" w:cs="Times New Roman"/>
        </w:rPr>
        <w:t xml:space="preserve"> </w:t>
      </w:r>
      <w:bookmarkEnd w:id="104"/>
      <w:bookmarkEnd w:id="105"/>
      <w:r w:rsidR="004F45E9" w:rsidRPr="00456F82">
        <w:rPr>
          <w:rFonts w:ascii="Times New Roman" w:hAnsi="Times New Roman" w:cs="Times New Roman"/>
        </w:rPr>
        <w:t>(</w:t>
      </w:r>
      <w:r w:rsidR="004F45E9">
        <w:rPr>
          <w:rFonts w:ascii="Times New Roman" w:hAnsi="Times New Roman" w:cs="Times New Roman"/>
        </w:rPr>
        <w:t xml:space="preserve">T.C. May 18, 2017) (Lauber, J., concurring).  </w:t>
      </w:r>
      <w:r w:rsidRPr="00010880">
        <w:rPr>
          <w:rFonts w:ascii="Times New Roman" w:hAnsi="Times New Roman" w:cs="Times New Roman"/>
        </w:rPr>
        <w:t>As a technical matter, the Code, surprisingly, fails to provide a mechanism that would prevent double inclusions.  Nonetheless, given that such inclusion would be inconsistent with the fundamental princip</w:t>
      </w:r>
      <w:r w:rsidR="004F45E9">
        <w:rPr>
          <w:rFonts w:ascii="Times New Roman" w:hAnsi="Times New Roman" w:cs="Times New Roman"/>
        </w:rPr>
        <w:t>les underlying the estate tax, o</w:t>
      </w:r>
      <w:r w:rsidRPr="00010880">
        <w:rPr>
          <w:rFonts w:ascii="Times New Roman" w:hAnsi="Times New Roman" w:cs="Times New Roman"/>
        </w:rPr>
        <w:t xml:space="preserve">ne might conclude that a prohibition against double inclusion is implicit in the Code.  </w:t>
      </w:r>
      <w:r w:rsidRPr="00010880">
        <w:rPr>
          <w:rFonts w:ascii="Times New Roman" w:hAnsi="Times New Roman" w:cs="Times New Roman"/>
          <w:i/>
        </w:rPr>
        <w:t xml:space="preserve">Cf. </w:t>
      </w:r>
      <w:r w:rsidRPr="00010880">
        <w:rPr>
          <w:rFonts w:ascii="Times New Roman" w:hAnsi="Times New Roman" w:cs="Times New Roman"/>
        </w:rPr>
        <w:t xml:space="preserve">Rev. Rul. 84-25, 1984-1 C.B. 191.  </w:t>
      </w:r>
      <w:r w:rsidRPr="00010880">
        <w:rPr>
          <w:rFonts w:ascii="Times New Roman" w:hAnsi="Times New Roman" w:cs="Times New Roman"/>
          <w:i/>
        </w:rPr>
        <w:t xml:space="preserve">See also </w:t>
      </w:r>
      <w:r w:rsidRPr="00010880">
        <w:rPr>
          <w:rFonts w:ascii="Times New Roman" w:hAnsi="Times New Roman" w:cs="Times New Roman"/>
        </w:rPr>
        <w:t xml:space="preserve">Blattmachr, Gans &amp; Zeydel, </w:t>
      </w:r>
      <w:r w:rsidRPr="004F45E9">
        <w:rPr>
          <w:rFonts w:ascii="Times New Roman" w:hAnsi="Times New Roman" w:cs="Times New Roman"/>
          <w:i/>
        </w:rPr>
        <w:t xml:space="preserve">supra </w:t>
      </w:r>
      <w:r w:rsidRPr="004F45E9">
        <w:rPr>
          <w:rFonts w:ascii="Times New Roman" w:hAnsi="Times New Roman" w:cs="Times New Roman"/>
        </w:rPr>
        <w:t xml:space="preserve">note </w:t>
      </w:r>
      <w:r w:rsidR="004F45E9">
        <w:rPr>
          <w:rFonts w:ascii="Times New Roman" w:hAnsi="Times New Roman" w:cs="Times New Roman"/>
        </w:rPr>
        <w:t>8</w:t>
      </w:r>
      <w:r w:rsidR="00D82701">
        <w:rPr>
          <w:rFonts w:ascii="Times New Roman" w:hAnsi="Times New Roman" w:cs="Times New Roman"/>
        </w:rPr>
        <w:t>4</w:t>
      </w:r>
      <w:r w:rsidRPr="004F45E9">
        <w:rPr>
          <w:rFonts w:ascii="Times New Roman" w:hAnsi="Times New Roman" w:cs="Times New Roman"/>
        </w:rPr>
        <w:t>.</w:t>
      </w:r>
      <w:r w:rsidRPr="00010880">
        <w:rPr>
          <w:rFonts w:ascii="Times New Roman" w:hAnsi="Times New Roman" w:cs="Times New Roman"/>
        </w:rPr>
        <w:t xml:space="preserve">   </w:t>
      </w:r>
    </w:p>
  </w:footnote>
  <w:footnote w:id="88">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004F45E9" w:rsidRPr="004F45E9">
        <w:rPr>
          <w:rFonts w:ascii="Times New Roman" w:hAnsi="Times New Roman" w:cs="Times New Roman"/>
          <w:i/>
        </w:rPr>
        <w:t>Powell</w:t>
      </w:r>
      <w:r w:rsidR="004F45E9">
        <w:rPr>
          <w:rFonts w:ascii="Times New Roman" w:hAnsi="Times New Roman" w:cs="Times New Roman"/>
        </w:rPr>
        <w:t xml:space="preserve">, </w:t>
      </w:r>
      <w:r w:rsidR="004F45E9" w:rsidRPr="00B23ACB">
        <w:rPr>
          <w:rFonts w:ascii="Times New Roman" w:hAnsi="Times New Roman" w:cs="Times New Roman"/>
        </w:rPr>
        <w:t>2017 WL 2211398</w:t>
      </w:r>
      <w:r w:rsidR="004F45E9">
        <w:rPr>
          <w:rFonts w:ascii="Times New Roman" w:hAnsi="Times New Roman" w:cs="Times New Roman"/>
        </w:rPr>
        <w:t>, at *</w:t>
      </w:r>
      <w:r w:rsidR="00E66DAB">
        <w:rPr>
          <w:rFonts w:ascii="Times New Roman" w:hAnsi="Times New Roman" w:cs="Times New Roman"/>
        </w:rPr>
        <w:t>9</w:t>
      </w:r>
      <w:r w:rsidR="004F45E9">
        <w:rPr>
          <w:rFonts w:ascii="Times New Roman" w:hAnsi="Times New Roman" w:cs="Times New Roman"/>
        </w:rPr>
        <w:t>.</w:t>
      </w:r>
    </w:p>
  </w:footnote>
  <w:footnote w:id="89">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456F82">
        <w:rPr>
          <w:rFonts w:ascii="Times New Roman" w:hAnsi="Times New Roman" w:cs="Times New Roman"/>
          <w:i/>
        </w:rPr>
        <w:t>Id.</w:t>
      </w:r>
      <w:r w:rsidRPr="00456F82">
        <w:rPr>
          <w:rFonts w:ascii="Times New Roman" w:hAnsi="Times New Roman" w:cs="Times New Roman"/>
        </w:rPr>
        <w:t xml:space="preserve"> </w:t>
      </w:r>
    </w:p>
  </w:footnote>
  <w:footnote w:id="90">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00962568">
        <w:rPr>
          <w:rFonts w:ascii="Times New Roman" w:hAnsi="Times New Roman" w:cs="Times New Roman"/>
          <w:i/>
        </w:rPr>
        <w:t xml:space="preserve">Id. </w:t>
      </w:r>
      <w:r w:rsidR="00962568">
        <w:rPr>
          <w:rFonts w:ascii="Times New Roman" w:hAnsi="Times New Roman" w:cs="Times New Roman"/>
        </w:rPr>
        <w:t>at *9</w:t>
      </w:r>
      <w:r w:rsidRPr="00456F82">
        <w:rPr>
          <w:rFonts w:ascii="Times New Roman" w:hAnsi="Times New Roman" w:cs="Times New Roman"/>
        </w:rPr>
        <w:t xml:space="preserve"> n.7.</w:t>
      </w:r>
    </w:p>
  </w:footnote>
  <w:footnote w:id="91">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Section 2043 would offset the amount otherwise includible under section 2036, but it would not permit a deduction for the amount of the offset in excess of the amount of the inclusion. </w:t>
      </w:r>
    </w:p>
  </w:footnote>
  <w:footnote w:id="92">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456F82">
        <w:rPr>
          <w:rFonts w:ascii="Times New Roman" w:hAnsi="Times New Roman" w:cs="Times New Roman"/>
          <w:i/>
        </w:rPr>
        <w:t>See</w:t>
      </w:r>
      <w:r w:rsidR="00F84235">
        <w:rPr>
          <w:rFonts w:ascii="Times New Roman" w:hAnsi="Times New Roman" w:cs="Times New Roman"/>
        </w:rPr>
        <w:t xml:space="preserve"> United States v. Allen</w:t>
      </w:r>
      <w:r w:rsidRPr="00456F82">
        <w:rPr>
          <w:rFonts w:ascii="Times New Roman" w:hAnsi="Times New Roman" w:cs="Times New Roman"/>
        </w:rPr>
        <w:t xml:space="preserve">, 293 F.2d 916 (10th Cir. 1961), </w:t>
      </w:r>
      <w:r w:rsidRPr="00456F82">
        <w:rPr>
          <w:rFonts w:ascii="Times New Roman" w:hAnsi="Times New Roman" w:cs="Times New Roman"/>
          <w:i/>
        </w:rPr>
        <w:t>cert. denied</w:t>
      </w:r>
      <w:r w:rsidRPr="00456F82">
        <w:rPr>
          <w:rFonts w:ascii="Times New Roman" w:hAnsi="Times New Roman" w:cs="Times New Roman"/>
        </w:rPr>
        <w:t>,  368 U.S. 944 (1961) (applying section 2035 in the case of a transfer within three years that would have defeated the application of section 2036).</w:t>
      </w:r>
    </w:p>
  </w:footnote>
  <w:footnote w:id="93">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456F82">
        <w:rPr>
          <w:rFonts w:ascii="Times New Roman" w:hAnsi="Times New Roman" w:cs="Times New Roman"/>
          <w:i/>
        </w:rPr>
        <w:t>See</w:t>
      </w:r>
      <w:r w:rsidRPr="00456F82">
        <w:rPr>
          <w:rFonts w:ascii="Times New Roman" w:hAnsi="Times New Roman" w:cs="Times New Roman"/>
        </w:rPr>
        <w:t xml:space="preserve"> Treas. Reg. § 25.2704-2(b) (defining an applicable restriction as “a limitation on the ability to liquidate the entity (in whole or in part)”). Note that, in </w:t>
      </w:r>
      <w:r w:rsidRPr="00456F82">
        <w:rPr>
          <w:rFonts w:ascii="Times New Roman" w:hAnsi="Times New Roman" w:cs="Times New Roman"/>
          <w:i/>
        </w:rPr>
        <w:t>Kerr v. Commissioner</w:t>
      </w:r>
      <w:r w:rsidRPr="00456F82">
        <w:rPr>
          <w:rFonts w:ascii="Times New Roman" w:hAnsi="Times New Roman" w:cs="Times New Roman"/>
        </w:rPr>
        <w:t xml:space="preserve">, 113 T.C. 449 (1999), </w:t>
      </w:r>
      <w:r w:rsidRPr="00456F82">
        <w:rPr>
          <w:rFonts w:ascii="Times New Roman" w:hAnsi="Times New Roman" w:cs="Times New Roman"/>
          <w:i/>
        </w:rPr>
        <w:t>aff’d on other ground</w:t>
      </w:r>
      <w:r w:rsidR="00F84235">
        <w:rPr>
          <w:rFonts w:ascii="Times New Roman" w:hAnsi="Times New Roman" w:cs="Times New Roman"/>
          <w:i/>
        </w:rPr>
        <w:t>s</w:t>
      </w:r>
      <w:r w:rsidRPr="00456F82">
        <w:rPr>
          <w:rFonts w:ascii="Times New Roman" w:hAnsi="Times New Roman" w:cs="Times New Roman"/>
        </w:rPr>
        <w:t xml:space="preserve">, 292 F.3d 490 (5th Cir. 2002), the court, in construing this regulation, concluded that a restriction on a put right was not an applicable restriction.  It would seem, however, that a restriction on the right to vote on dissolution is somewhat distinguishable from the limitation in </w:t>
      </w:r>
      <w:r w:rsidRPr="00456F82">
        <w:rPr>
          <w:rFonts w:ascii="Times New Roman" w:hAnsi="Times New Roman" w:cs="Times New Roman"/>
          <w:i/>
        </w:rPr>
        <w:t>Kerr</w:t>
      </w:r>
      <w:r w:rsidRPr="00456F82">
        <w:rPr>
          <w:rFonts w:ascii="Times New Roman" w:hAnsi="Times New Roman" w:cs="Times New Roman"/>
        </w:rPr>
        <w:t xml:space="preserve"> and perhaps, therefore, an applicable restriction.</w:t>
      </w:r>
    </w:p>
  </w:footnote>
  <w:footnote w:id="94">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Section 2704(b) provides that applicable restrictions “shall be disregarded in determining the value of the transferred interest.”  While this provision could therefore affect the value of the transferred interest, it cannot be used as a predicate by the IRS to claim that the decedent should be treated as having retained a right for purposes of section 2036.</w:t>
      </w:r>
    </w:p>
  </w:footnote>
  <w:footnote w:id="95">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00F84235" w:rsidRPr="00456F82">
        <w:rPr>
          <w:rFonts w:ascii="Times New Roman" w:hAnsi="Times New Roman" w:cs="Times New Roman"/>
        </w:rPr>
        <w:t>United States v. Byrum, 408 U.S. 125</w:t>
      </w:r>
      <w:r w:rsidR="00F84235">
        <w:rPr>
          <w:rFonts w:ascii="Times New Roman" w:hAnsi="Times New Roman" w:cs="Times New Roman"/>
        </w:rPr>
        <w:t>, 143-44</w:t>
      </w:r>
      <w:r w:rsidR="00F84235" w:rsidRPr="00456F82">
        <w:rPr>
          <w:rFonts w:ascii="Times New Roman" w:hAnsi="Times New Roman" w:cs="Times New Roman"/>
        </w:rPr>
        <w:t xml:space="preserve"> (1972)</w:t>
      </w:r>
      <w:r w:rsidRPr="00456F82">
        <w:rPr>
          <w:rFonts w:ascii="Times New Roman" w:hAnsi="Times New Roman" w:cs="Times New Roman"/>
        </w:rPr>
        <w:t>.</w:t>
      </w:r>
    </w:p>
  </w:footnote>
  <w:footnote w:id="96">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In </w:t>
      </w:r>
      <w:r w:rsidRPr="00456F82">
        <w:rPr>
          <w:rFonts w:ascii="Times New Roman" w:hAnsi="Times New Roman" w:cs="Times New Roman"/>
          <w:i/>
        </w:rPr>
        <w:t>Byrum</w:t>
      </w:r>
      <w:r w:rsidRPr="00456F82">
        <w:rPr>
          <w:rFonts w:ascii="Times New Roman" w:hAnsi="Times New Roman" w:cs="Times New Roman"/>
        </w:rPr>
        <w:t xml:space="preserve">, the corporate trustee could have been removed and replaced by the decedent.  </w:t>
      </w:r>
      <w:r w:rsidRPr="00456F82">
        <w:rPr>
          <w:rFonts w:ascii="Times New Roman" w:hAnsi="Times New Roman" w:cs="Times New Roman"/>
          <w:i/>
        </w:rPr>
        <w:t>See</w:t>
      </w:r>
      <w:r w:rsidRPr="00456F82">
        <w:rPr>
          <w:rFonts w:ascii="Times New Roman" w:hAnsi="Times New Roman" w:cs="Times New Roman"/>
        </w:rPr>
        <w:t xml:space="preserve"> </w:t>
      </w:r>
      <w:r w:rsidR="00F84235" w:rsidRPr="00F84235">
        <w:rPr>
          <w:rFonts w:ascii="Times New Roman" w:hAnsi="Times New Roman" w:cs="Times New Roman"/>
          <w:i/>
        </w:rPr>
        <w:t>id.</w:t>
      </w:r>
      <w:r w:rsidRPr="00456F82">
        <w:rPr>
          <w:rFonts w:ascii="Times New Roman" w:hAnsi="Times New Roman" w:cs="Times New Roman"/>
        </w:rPr>
        <w:t xml:space="preserve"> at 127.  The Court nonetheless relied on the corporate trustee’s fiduciary duty to hold the decedent accountable.  </w:t>
      </w:r>
      <w:r w:rsidRPr="00456F82">
        <w:rPr>
          <w:rFonts w:ascii="Times New Roman" w:hAnsi="Times New Roman" w:cs="Times New Roman"/>
          <w:i/>
        </w:rPr>
        <w:t>Id.</w:t>
      </w:r>
      <w:r w:rsidRPr="00456F82">
        <w:rPr>
          <w:rFonts w:ascii="Times New Roman" w:hAnsi="Times New Roman" w:cs="Times New Roman"/>
        </w:rPr>
        <w:t xml:space="preserve"> at 142-43.</w:t>
      </w:r>
    </w:p>
  </w:footnote>
  <w:footnote w:id="97">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The authors have previously suggested the use of such a “buffer trust,” under which the trustee who is not the decedent had discretion with respect to distributions.  </w:t>
      </w:r>
      <w:r w:rsidRPr="00456F82">
        <w:rPr>
          <w:rFonts w:ascii="Times New Roman" w:hAnsi="Times New Roman" w:cs="Times New Roman"/>
          <w:i/>
        </w:rPr>
        <w:t>See</w:t>
      </w:r>
      <w:r w:rsidRPr="00456F82">
        <w:rPr>
          <w:rFonts w:ascii="Times New Roman" w:hAnsi="Times New Roman" w:cs="Times New Roman"/>
        </w:rPr>
        <w:t xml:space="preserve"> Gans </w:t>
      </w:r>
      <w:r w:rsidR="00F84235">
        <w:rPr>
          <w:rFonts w:ascii="Times New Roman" w:hAnsi="Times New Roman" w:cs="Times New Roman"/>
        </w:rPr>
        <w:t>&amp;</w:t>
      </w:r>
      <w:r w:rsidRPr="00456F82">
        <w:rPr>
          <w:rFonts w:ascii="Times New Roman" w:hAnsi="Times New Roman" w:cs="Times New Roman"/>
        </w:rPr>
        <w:t xml:space="preserve"> Blattmachr, </w:t>
      </w:r>
      <w:r w:rsidRPr="00456F82">
        <w:rPr>
          <w:rFonts w:ascii="Times New Roman" w:hAnsi="Times New Roman" w:cs="Times New Roman"/>
          <w:i/>
        </w:rPr>
        <w:t>supra</w:t>
      </w:r>
      <w:r w:rsidRPr="00456F82">
        <w:rPr>
          <w:rFonts w:ascii="Times New Roman" w:hAnsi="Times New Roman" w:cs="Times New Roman"/>
        </w:rPr>
        <w:t xml:space="preserve"> note </w:t>
      </w:r>
      <w:r w:rsidR="00F84235">
        <w:rPr>
          <w:rFonts w:ascii="Times New Roman" w:hAnsi="Times New Roman" w:cs="Times New Roman"/>
        </w:rPr>
        <w:t>1</w:t>
      </w:r>
      <w:r w:rsidR="00D82701">
        <w:rPr>
          <w:rFonts w:ascii="Times New Roman" w:hAnsi="Times New Roman" w:cs="Times New Roman"/>
        </w:rPr>
        <w:t>9</w:t>
      </w:r>
      <w:r w:rsidRPr="00F84235">
        <w:rPr>
          <w:rFonts w:ascii="Times New Roman" w:hAnsi="Times New Roman" w:cs="Times New Roman"/>
        </w:rPr>
        <w:t>.</w:t>
      </w:r>
      <w:r w:rsidRPr="00456F82">
        <w:rPr>
          <w:rFonts w:ascii="Times New Roman" w:hAnsi="Times New Roman" w:cs="Times New Roman"/>
          <w:i/>
        </w:rPr>
        <w:t xml:space="preserve"> </w:t>
      </w:r>
      <w:r w:rsidRPr="00456F82">
        <w:rPr>
          <w:rFonts w:ascii="Times New Roman" w:hAnsi="Times New Roman" w:cs="Times New Roman"/>
        </w:rPr>
        <w:t xml:space="preserve">The Court in </w:t>
      </w:r>
      <w:r w:rsidRPr="00456F82">
        <w:rPr>
          <w:rFonts w:ascii="Times New Roman" w:hAnsi="Times New Roman" w:cs="Times New Roman"/>
          <w:i/>
        </w:rPr>
        <w:t>Byrum</w:t>
      </w:r>
      <w:r w:rsidRPr="00456F82">
        <w:rPr>
          <w:rFonts w:ascii="Times New Roman" w:hAnsi="Times New Roman" w:cs="Times New Roman"/>
        </w:rPr>
        <w:t xml:space="preserve"> indicated that, in such a case, the decedent could not be treated as having a right within the scope of section 2036(a)(2).  </w:t>
      </w:r>
      <w:r w:rsidRPr="001E6CD7">
        <w:rPr>
          <w:rFonts w:ascii="Times New Roman" w:hAnsi="Times New Roman" w:cs="Times New Roman"/>
          <w:i/>
        </w:rPr>
        <w:t>See</w:t>
      </w:r>
      <w:r w:rsidR="001E6CD7">
        <w:rPr>
          <w:rFonts w:ascii="Times New Roman" w:hAnsi="Times New Roman" w:cs="Times New Roman"/>
          <w:i/>
        </w:rPr>
        <w:t xml:space="preserve"> Byrum</w:t>
      </w:r>
      <w:r w:rsidR="001E6CD7">
        <w:rPr>
          <w:rFonts w:ascii="Times New Roman" w:hAnsi="Times New Roman" w:cs="Times New Roman"/>
        </w:rPr>
        <w:t>,</w:t>
      </w:r>
      <w:r w:rsidRPr="00456F82">
        <w:rPr>
          <w:rFonts w:ascii="Times New Roman" w:hAnsi="Times New Roman" w:cs="Times New Roman"/>
        </w:rPr>
        <w:t xml:space="preserve"> 408 U.S. at 143 (“Even had Byrum managed to flood the trust with income, he had no way of compelling the trustee to pay it out rather than accumulate it.”).  </w:t>
      </w:r>
    </w:p>
  </w:footnote>
  <w:footnote w:id="98">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First, it may not be necessary to have all of the limited units held in trust.  As indicated, in </w:t>
      </w:r>
      <w:r w:rsidRPr="00456F82">
        <w:rPr>
          <w:rFonts w:ascii="Times New Roman" w:hAnsi="Times New Roman" w:cs="Times New Roman"/>
          <w:i/>
        </w:rPr>
        <w:t>Byrum</w:t>
      </w:r>
      <w:r w:rsidRPr="00456F82">
        <w:rPr>
          <w:rFonts w:ascii="Times New Roman" w:hAnsi="Times New Roman" w:cs="Times New Roman"/>
        </w:rPr>
        <w:t xml:space="preserve">, only a minority interest was held in trust, and the Court nonetheless found that the decedent could be held accountable by the trustee.  Thus, a gift of only a portion of the limited units might suffice.  Second, if all of the units are to be held in the trust and there is a concern about gift tax, an installment sale might be utilized.  Or, as an alternative, the units could be transferred to an incomplete-gift trust.  For a further discussion, see Gans and Blattmachr, </w:t>
      </w:r>
      <w:r w:rsidRPr="00456F82">
        <w:rPr>
          <w:rFonts w:ascii="Times New Roman" w:hAnsi="Times New Roman" w:cs="Times New Roman"/>
          <w:i/>
        </w:rPr>
        <w:t>supra</w:t>
      </w:r>
      <w:r w:rsidRPr="00456F82">
        <w:rPr>
          <w:rFonts w:ascii="Times New Roman" w:hAnsi="Times New Roman" w:cs="Times New Roman"/>
        </w:rPr>
        <w:t xml:space="preserve"> note </w:t>
      </w:r>
      <w:r w:rsidR="001E6CD7">
        <w:rPr>
          <w:rFonts w:ascii="Times New Roman" w:hAnsi="Times New Roman" w:cs="Times New Roman"/>
        </w:rPr>
        <w:t>1</w:t>
      </w:r>
      <w:r w:rsidR="00D82701">
        <w:rPr>
          <w:rFonts w:ascii="Times New Roman" w:hAnsi="Times New Roman" w:cs="Times New Roman"/>
        </w:rPr>
        <w:t>9</w:t>
      </w:r>
      <w:r w:rsidRPr="00456F82">
        <w:rPr>
          <w:rFonts w:ascii="Times New Roman" w:hAnsi="Times New Roman" w:cs="Times New Roman"/>
        </w:rPr>
        <w:t xml:space="preserve">.   </w:t>
      </w:r>
    </w:p>
  </w:footnote>
  <w:footnote w:id="99">
    <w:p w:rsidR="00557C76" w:rsidRPr="00456F82" w:rsidRDefault="00557C76">
      <w:pPr>
        <w:pStyle w:val="FootnoteText"/>
        <w:rPr>
          <w:rFonts w:ascii="Times New Roman" w:hAnsi="Times New Roman" w:cs="Times New Roman"/>
        </w:rPr>
      </w:pPr>
      <w:r w:rsidRPr="00456F82">
        <w:rPr>
          <w:rStyle w:val="FootnoteReference"/>
          <w:rFonts w:ascii="Times New Roman" w:hAnsi="Times New Roman" w:cs="Times New Roman"/>
        </w:rPr>
        <w:footnoteRef/>
      </w:r>
      <w:r w:rsidRPr="00456F82">
        <w:rPr>
          <w:rFonts w:ascii="Times New Roman" w:hAnsi="Times New Roman" w:cs="Times New Roman"/>
        </w:rPr>
        <w:t xml:space="preserve"> </w:t>
      </w:r>
      <w:r w:rsidRPr="00456F82">
        <w:rPr>
          <w:rFonts w:ascii="Times New Roman" w:hAnsi="Times New Roman" w:cs="Times New Roman"/>
          <w:i/>
        </w:rPr>
        <w:t>See</w:t>
      </w:r>
      <w:r w:rsidRPr="00456F82">
        <w:rPr>
          <w:rFonts w:ascii="Times New Roman" w:hAnsi="Times New Roman" w:cs="Times New Roman"/>
        </w:rPr>
        <w:t xml:space="preserve"> Mitchell M. Gans &amp; Jonathan G. Blattmachr, </w:t>
      </w:r>
      <w:r w:rsidRPr="00456F82">
        <w:rPr>
          <w:rFonts w:ascii="Times New Roman" w:hAnsi="Times New Roman" w:cs="Times New Roman"/>
          <w:bCs/>
          <w:i/>
          <w:iCs/>
        </w:rPr>
        <w:t>Family Limited Partnership: Dueling Dicta</w:t>
      </w:r>
      <w:r w:rsidRPr="00456F82">
        <w:rPr>
          <w:rFonts w:ascii="Times New Roman" w:hAnsi="Times New Roman" w:cs="Times New Roman"/>
          <w:i/>
          <w:iCs/>
        </w:rPr>
        <w:t>,</w:t>
      </w:r>
      <w:r w:rsidRPr="00456F82">
        <w:rPr>
          <w:rFonts w:ascii="Times New Roman" w:hAnsi="Times New Roman" w:cs="Times New Roman"/>
          <w:iCs/>
        </w:rPr>
        <w:t xml:space="preserve">35 </w:t>
      </w:r>
      <w:r w:rsidRPr="00456F82">
        <w:rPr>
          <w:rFonts w:ascii="Times New Roman" w:hAnsi="Times New Roman" w:cs="Times New Roman"/>
          <w:iCs/>
          <w:smallCaps/>
        </w:rPr>
        <w:t>Cap</w:t>
      </w:r>
      <w:r w:rsidR="001E6CD7">
        <w:rPr>
          <w:rFonts w:ascii="Times New Roman" w:hAnsi="Times New Roman" w:cs="Times New Roman"/>
          <w:iCs/>
          <w:smallCaps/>
        </w:rPr>
        <w:t>.</w:t>
      </w:r>
      <w:r w:rsidRPr="00456F82">
        <w:rPr>
          <w:rFonts w:ascii="Times New Roman" w:hAnsi="Times New Roman" w:cs="Times New Roman"/>
          <w:iCs/>
          <w:smallCaps/>
        </w:rPr>
        <w:t xml:space="preserve"> U. L. Rev</w:t>
      </w:r>
      <w:r w:rsidRPr="00456F82">
        <w:rPr>
          <w:rFonts w:ascii="Times New Roman" w:hAnsi="Times New Roman" w:cs="Times New Roman"/>
          <w:iCs/>
        </w:rPr>
        <w:t>. 1 (2006).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613E1"/>
    <w:multiLevelType w:val="hybridMultilevel"/>
    <w:tmpl w:val="8394579E"/>
    <w:lvl w:ilvl="0" w:tplc="171E40F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8760BD"/>
    <w:multiLevelType w:val="hybridMultilevel"/>
    <w:tmpl w:val="C21E8542"/>
    <w:lvl w:ilvl="0" w:tplc="EB6E95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1256B3"/>
    <w:multiLevelType w:val="hybridMultilevel"/>
    <w:tmpl w:val="9154E24E"/>
    <w:lvl w:ilvl="0" w:tplc="1766F47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ED16AE"/>
    <w:multiLevelType w:val="hybridMultilevel"/>
    <w:tmpl w:val="E30E1244"/>
    <w:lvl w:ilvl="0" w:tplc="3F086AE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38E"/>
    <w:rsid w:val="00010880"/>
    <w:rsid w:val="00014738"/>
    <w:rsid w:val="00015C7C"/>
    <w:rsid w:val="00064F61"/>
    <w:rsid w:val="0007149E"/>
    <w:rsid w:val="000C67AC"/>
    <w:rsid w:val="000D22B4"/>
    <w:rsid w:val="000D442D"/>
    <w:rsid w:val="000D551B"/>
    <w:rsid w:val="000E05E1"/>
    <w:rsid w:val="000F7116"/>
    <w:rsid w:val="001313E6"/>
    <w:rsid w:val="00133A42"/>
    <w:rsid w:val="0014398B"/>
    <w:rsid w:val="00144291"/>
    <w:rsid w:val="00145B17"/>
    <w:rsid w:val="0014645B"/>
    <w:rsid w:val="00166B9E"/>
    <w:rsid w:val="00174E5A"/>
    <w:rsid w:val="001818E4"/>
    <w:rsid w:val="0019090A"/>
    <w:rsid w:val="001A056B"/>
    <w:rsid w:val="001A2878"/>
    <w:rsid w:val="001A37DB"/>
    <w:rsid w:val="001A6286"/>
    <w:rsid w:val="001B0AB3"/>
    <w:rsid w:val="001B7D0C"/>
    <w:rsid w:val="001C371D"/>
    <w:rsid w:val="001E6CD7"/>
    <w:rsid w:val="00213C55"/>
    <w:rsid w:val="00220D72"/>
    <w:rsid w:val="00221EC9"/>
    <w:rsid w:val="002251F0"/>
    <w:rsid w:val="002272F9"/>
    <w:rsid w:val="00235A7C"/>
    <w:rsid w:val="00245712"/>
    <w:rsid w:val="00265C8C"/>
    <w:rsid w:val="00276A1D"/>
    <w:rsid w:val="00276BEB"/>
    <w:rsid w:val="00277DF2"/>
    <w:rsid w:val="002C18F3"/>
    <w:rsid w:val="002E4DD7"/>
    <w:rsid w:val="00303C95"/>
    <w:rsid w:val="00325CEA"/>
    <w:rsid w:val="00352755"/>
    <w:rsid w:val="0037332A"/>
    <w:rsid w:val="00380364"/>
    <w:rsid w:val="003809AD"/>
    <w:rsid w:val="0038411C"/>
    <w:rsid w:val="0038446D"/>
    <w:rsid w:val="003B5093"/>
    <w:rsid w:val="00400D49"/>
    <w:rsid w:val="00406487"/>
    <w:rsid w:val="00422800"/>
    <w:rsid w:val="004232F5"/>
    <w:rsid w:val="00425F88"/>
    <w:rsid w:val="004429E2"/>
    <w:rsid w:val="00444F6C"/>
    <w:rsid w:val="00450BC0"/>
    <w:rsid w:val="00452BD4"/>
    <w:rsid w:val="00456A97"/>
    <w:rsid w:val="00456F82"/>
    <w:rsid w:val="00461F36"/>
    <w:rsid w:val="00470B49"/>
    <w:rsid w:val="00471281"/>
    <w:rsid w:val="00473DBC"/>
    <w:rsid w:val="00490F07"/>
    <w:rsid w:val="004C46B6"/>
    <w:rsid w:val="004D15CA"/>
    <w:rsid w:val="004E25AB"/>
    <w:rsid w:val="004F28EF"/>
    <w:rsid w:val="004F45E9"/>
    <w:rsid w:val="00515B40"/>
    <w:rsid w:val="00531D21"/>
    <w:rsid w:val="00536909"/>
    <w:rsid w:val="0055738E"/>
    <w:rsid w:val="00557C76"/>
    <w:rsid w:val="00573489"/>
    <w:rsid w:val="0057563B"/>
    <w:rsid w:val="00575DA0"/>
    <w:rsid w:val="005829C1"/>
    <w:rsid w:val="00582E1E"/>
    <w:rsid w:val="00593E2C"/>
    <w:rsid w:val="005A272B"/>
    <w:rsid w:val="005D2E21"/>
    <w:rsid w:val="005D32EB"/>
    <w:rsid w:val="005E0758"/>
    <w:rsid w:val="005E48B7"/>
    <w:rsid w:val="00602020"/>
    <w:rsid w:val="00611E5A"/>
    <w:rsid w:val="00626850"/>
    <w:rsid w:val="00634C47"/>
    <w:rsid w:val="00643A42"/>
    <w:rsid w:val="00646FDB"/>
    <w:rsid w:val="00662292"/>
    <w:rsid w:val="00667C50"/>
    <w:rsid w:val="00673823"/>
    <w:rsid w:val="006975A5"/>
    <w:rsid w:val="006A19EE"/>
    <w:rsid w:val="006A3331"/>
    <w:rsid w:val="006B6E24"/>
    <w:rsid w:val="006D4A7E"/>
    <w:rsid w:val="006E2B13"/>
    <w:rsid w:val="006E2CD2"/>
    <w:rsid w:val="0071178B"/>
    <w:rsid w:val="007142C1"/>
    <w:rsid w:val="00725EA8"/>
    <w:rsid w:val="00730CA5"/>
    <w:rsid w:val="00731AAA"/>
    <w:rsid w:val="007432D1"/>
    <w:rsid w:val="00762540"/>
    <w:rsid w:val="007A1B0A"/>
    <w:rsid w:val="007B1E37"/>
    <w:rsid w:val="007B4922"/>
    <w:rsid w:val="007F3AF9"/>
    <w:rsid w:val="0080000C"/>
    <w:rsid w:val="00800305"/>
    <w:rsid w:val="00805BDE"/>
    <w:rsid w:val="00811B6D"/>
    <w:rsid w:val="0083523A"/>
    <w:rsid w:val="00882E40"/>
    <w:rsid w:val="008B6FFB"/>
    <w:rsid w:val="008C6C82"/>
    <w:rsid w:val="008E54D1"/>
    <w:rsid w:val="008F2724"/>
    <w:rsid w:val="008F38CC"/>
    <w:rsid w:val="00926B59"/>
    <w:rsid w:val="0093692A"/>
    <w:rsid w:val="00953009"/>
    <w:rsid w:val="00956F0A"/>
    <w:rsid w:val="009613C7"/>
    <w:rsid w:val="00962568"/>
    <w:rsid w:val="009665C5"/>
    <w:rsid w:val="00966790"/>
    <w:rsid w:val="00970076"/>
    <w:rsid w:val="00972C1B"/>
    <w:rsid w:val="00974EC5"/>
    <w:rsid w:val="009861B5"/>
    <w:rsid w:val="009A04FD"/>
    <w:rsid w:val="009B23B3"/>
    <w:rsid w:val="009C25D6"/>
    <w:rsid w:val="009C45FB"/>
    <w:rsid w:val="009C6C3C"/>
    <w:rsid w:val="009E7611"/>
    <w:rsid w:val="009F22BF"/>
    <w:rsid w:val="00A063F6"/>
    <w:rsid w:val="00A31080"/>
    <w:rsid w:val="00A600CB"/>
    <w:rsid w:val="00A60225"/>
    <w:rsid w:val="00A73520"/>
    <w:rsid w:val="00AC2692"/>
    <w:rsid w:val="00AD10BE"/>
    <w:rsid w:val="00B06CDF"/>
    <w:rsid w:val="00B23ACB"/>
    <w:rsid w:val="00B51220"/>
    <w:rsid w:val="00B66D31"/>
    <w:rsid w:val="00B71D4A"/>
    <w:rsid w:val="00B80A11"/>
    <w:rsid w:val="00B96CEF"/>
    <w:rsid w:val="00BB454C"/>
    <w:rsid w:val="00BC744C"/>
    <w:rsid w:val="00BD0B04"/>
    <w:rsid w:val="00BD245E"/>
    <w:rsid w:val="00BF0EB5"/>
    <w:rsid w:val="00BF6278"/>
    <w:rsid w:val="00C10BAA"/>
    <w:rsid w:val="00C330C5"/>
    <w:rsid w:val="00C406F6"/>
    <w:rsid w:val="00C45DB4"/>
    <w:rsid w:val="00C866D2"/>
    <w:rsid w:val="00C87506"/>
    <w:rsid w:val="00CA04E7"/>
    <w:rsid w:val="00CA289B"/>
    <w:rsid w:val="00CB2C8A"/>
    <w:rsid w:val="00CB6714"/>
    <w:rsid w:val="00CE180F"/>
    <w:rsid w:val="00D0125C"/>
    <w:rsid w:val="00D05275"/>
    <w:rsid w:val="00D060C1"/>
    <w:rsid w:val="00D32014"/>
    <w:rsid w:val="00D345FA"/>
    <w:rsid w:val="00D413B2"/>
    <w:rsid w:val="00D415D1"/>
    <w:rsid w:val="00D63E7F"/>
    <w:rsid w:val="00D65CD7"/>
    <w:rsid w:val="00D66DC5"/>
    <w:rsid w:val="00D75C68"/>
    <w:rsid w:val="00D76166"/>
    <w:rsid w:val="00D82701"/>
    <w:rsid w:val="00DE1E75"/>
    <w:rsid w:val="00E13204"/>
    <w:rsid w:val="00E24698"/>
    <w:rsid w:val="00E25E5D"/>
    <w:rsid w:val="00E27871"/>
    <w:rsid w:val="00E635DB"/>
    <w:rsid w:val="00E66DAB"/>
    <w:rsid w:val="00E715DC"/>
    <w:rsid w:val="00EA0952"/>
    <w:rsid w:val="00ED77C6"/>
    <w:rsid w:val="00EE6357"/>
    <w:rsid w:val="00EF2DD5"/>
    <w:rsid w:val="00F05D52"/>
    <w:rsid w:val="00F30F94"/>
    <w:rsid w:val="00F3241E"/>
    <w:rsid w:val="00F66FE0"/>
    <w:rsid w:val="00F671EB"/>
    <w:rsid w:val="00F84235"/>
    <w:rsid w:val="00F8647E"/>
    <w:rsid w:val="00FA1A1E"/>
    <w:rsid w:val="00FB7492"/>
    <w:rsid w:val="00FC7079"/>
    <w:rsid w:val="00FC7C06"/>
    <w:rsid w:val="00FF1F7F"/>
    <w:rsid w:val="00FF3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6DF2"/>
  <w15:chartTrackingRefBased/>
  <w15:docId w15:val="{B027D019-0929-4DB4-B3FF-D6880399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BF62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18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18E4"/>
    <w:rPr>
      <w:sz w:val="20"/>
      <w:szCs w:val="20"/>
    </w:rPr>
  </w:style>
  <w:style w:type="character" w:styleId="FootnoteReference">
    <w:name w:val="footnote reference"/>
    <w:basedOn w:val="DefaultParagraphFont"/>
    <w:uiPriority w:val="99"/>
    <w:semiHidden/>
    <w:unhideWhenUsed/>
    <w:rsid w:val="001818E4"/>
    <w:rPr>
      <w:vertAlign w:val="superscript"/>
    </w:rPr>
  </w:style>
  <w:style w:type="character" w:customStyle="1" w:styleId="Heading3Char">
    <w:name w:val="Heading 3 Char"/>
    <w:basedOn w:val="DefaultParagraphFont"/>
    <w:link w:val="Heading3"/>
    <w:uiPriority w:val="9"/>
    <w:rsid w:val="00BF6278"/>
    <w:rPr>
      <w:rFonts w:ascii="Times New Roman" w:eastAsia="Times New Roman" w:hAnsi="Times New Roman" w:cs="Times New Roman"/>
      <w:b/>
      <w:bCs/>
      <w:sz w:val="27"/>
      <w:szCs w:val="27"/>
    </w:rPr>
  </w:style>
  <w:style w:type="character" w:styleId="Emphasis">
    <w:name w:val="Emphasis"/>
    <w:basedOn w:val="DefaultParagraphFont"/>
    <w:uiPriority w:val="20"/>
    <w:qFormat/>
    <w:rsid w:val="006E2B13"/>
    <w:rPr>
      <w:i/>
      <w:iCs/>
    </w:rPr>
  </w:style>
  <w:style w:type="character" w:customStyle="1" w:styleId="smallcaps">
    <w:name w:val="smallcaps"/>
    <w:basedOn w:val="DefaultParagraphFont"/>
    <w:rsid w:val="006E2B13"/>
  </w:style>
  <w:style w:type="paragraph" w:styleId="BalloonText">
    <w:name w:val="Balloon Text"/>
    <w:basedOn w:val="Normal"/>
    <w:link w:val="BalloonTextChar"/>
    <w:uiPriority w:val="99"/>
    <w:semiHidden/>
    <w:unhideWhenUsed/>
    <w:rsid w:val="00F30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F94"/>
    <w:rPr>
      <w:rFonts w:ascii="Segoe UI" w:hAnsi="Segoe UI" w:cs="Segoe UI"/>
      <w:sz w:val="18"/>
      <w:szCs w:val="18"/>
    </w:rPr>
  </w:style>
  <w:style w:type="character" w:styleId="CommentReference">
    <w:name w:val="annotation reference"/>
    <w:basedOn w:val="DefaultParagraphFont"/>
    <w:uiPriority w:val="99"/>
    <w:semiHidden/>
    <w:unhideWhenUsed/>
    <w:rsid w:val="009C45FB"/>
    <w:rPr>
      <w:sz w:val="16"/>
      <w:szCs w:val="16"/>
    </w:rPr>
  </w:style>
  <w:style w:type="paragraph" w:styleId="CommentText">
    <w:name w:val="annotation text"/>
    <w:basedOn w:val="Normal"/>
    <w:link w:val="CommentTextChar"/>
    <w:uiPriority w:val="99"/>
    <w:semiHidden/>
    <w:unhideWhenUsed/>
    <w:rsid w:val="009C45FB"/>
    <w:pPr>
      <w:spacing w:line="240" w:lineRule="auto"/>
    </w:pPr>
    <w:rPr>
      <w:sz w:val="20"/>
      <w:szCs w:val="20"/>
    </w:rPr>
  </w:style>
  <w:style w:type="character" w:customStyle="1" w:styleId="CommentTextChar">
    <w:name w:val="Comment Text Char"/>
    <w:basedOn w:val="DefaultParagraphFont"/>
    <w:link w:val="CommentText"/>
    <w:uiPriority w:val="99"/>
    <w:semiHidden/>
    <w:rsid w:val="009C45FB"/>
    <w:rPr>
      <w:sz w:val="20"/>
      <w:szCs w:val="20"/>
    </w:rPr>
  </w:style>
  <w:style w:type="paragraph" w:styleId="CommentSubject">
    <w:name w:val="annotation subject"/>
    <w:basedOn w:val="CommentText"/>
    <w:next w:val="CommentText"/>
    <w:link w:val="CommentSubjectChar"/>
    <w:uiPriority w:val="99"/>
    <w:semiHidden/>
    <w:unhideWhenUsed/>
    <w:rsid w:val="009C45FB"/>
    <w:rPr>
      <w:b/>
      <w:bCs/>
    </w:rPr>
  </w:style>
  <w:style w:type="character" w:customStyle="1" w:styleId="CommentSubjectChar">
    <w:name w:val="Comment Subject Char"/>
    <w:basedOn w:val="CommentTextChar"/>
    <w:link w:val="CommentSubject"/>
    <w:uiPriority w:val="99"/>
    <w:semiHidden/>
    <w:rsid w:val="009C45FB"/>
    <w:rPr>
      <w:b/>
      <w:bCs/>
      <w:sz w:val="20"/>
      <w:szCs w:val="20"/>
    </w:rPr>
  </w:style>
  <w:style w:type="paragraph" w:styleId="Revision">
    <w:name w:val="Revision"/>
    <w:hidden/>
    <w:uiPriority w:val="99"/>
    <w:semiHidden/>
    <w:rsid w:val="009C45FB"/>
    <w:pPr>
      <w:spacing w:after="0" w:line="240" w:lineRule="auto"/>
    </w:pPr>
  </w:style>
  <w:style w:type="character" w:customStyle="1" w:styleId="lucenesearchresulturlb">
    <w:name w:val="lucene_search_result_url_b"/>
    <w:basedOn w:val="DefaultParagraphFont"/>
    <w:rsid w:val="009C45FB"/>
  </w:style>
  <w:style w:type="character" w:styleId="Hyperlink">
    <w:name w:val="Hyperlink"/>
    <w:basedOn w:val="DefaultParagraphFont"/>
    <w:uiPriority w:val="99"/>
    <w:semiHidden/>
    <w:unhideWhenUsed/>
    <w:rsid w:val="009C45FB"/>
    <w:rPr>
      <w:color w:val="0000FF"/>
      <w:u w:val="single"/>
    </w:rPr>
  </w:style>
  <w:style w:type="paragraph" w:styleId="Header">
    <w:name w:val="header"/>
    <w:basedOn w:val="Normal"/>
    <w:link w:val="HeaderChar"/>
    <w:uiPriority w:val="99"/>
    <w:unhideWhenUsed/>
    <w:rsid w:val="009C4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5FB"/>
  </w:style>
  <w:style w:type="paragraph" w:styleId="Footer">
    <w:name w:val="footer"/>
    <w:basedOn w:val="Normal"/>
    <w:link w:val="FooterChar"/>
    <w:uiPriority w:val="99"/>
    <w:unhideWhenUsed/>
    <w:rsid w:val="009C4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5FB"/>
  </w:style>
  <w:style w:type="paragraph" w:styleId="ListParagraph">
    <w:name w:val="List Paragraph"/>
    <w:basedOn w:val="Normal"/>
    <w:uiPriority w:val="34"/>
    <w:qFormat/>
    <w:rsid w:val="00D32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12">
      <w:bodyDiv w:val="1"/>
      <w:marLeft w:val="0"/>
      <w:marRight w:val="0"/>
      <w:marTop w:val="0"/>
      <w:marBottom w:val="0"/>
      <w:divBdr>
        <w:top w:val="none" w:sz="0" w:space="0" w:color="auto"/>
        <w:left w:val="none" w:sz="0" w:space="0" w:color="auto"/>
        <w:bottom w:val="none" w:sz="0" w:space="0" w:color="auto"/>
        <w:right w:val="none" w:sz="0" w:space="0" w:color="auto"/>
      </w:divBdr>
    </w:div>
    <w:div w:id="116458685">
      <w:bodyDiv w:val="1"/>
      <w:marLeft w:val="0"/>
      <w:marRight w:val="0"/>
      <w:marTop w:val="0"/>
      <w:marBottom w:val="0"/>
      <w:divBdr>
        <w:top w:val="none" w:sz="0" w:space="0" w:color="auto"/>
        <w:left w:val="none" w:sz="0" w:space="0" w:color="auto"/>
        <w:bottom w:val="none" w:sz="0" w:space="0" w:color="auto"/>
        <w:right w:val="none" w:sz="0" w:space="0" w:color="auto"/>
      </w:divBdr>
    </w:div>
    <w:div w:id="320737236">
      <w:bodyDiv w:val="1"/>
      <w:marLeft w:val="0"/>
      <w:marRight w:val="0"/>
      <w:marTop w:val="0"/>
      <w:marBottom w:val="0"/>
      <w:divBdr>
        <w:top w:val="none" w:sz="0" w:space="0" w:color="auto"/>
        <w:left w:val="none" w:sz="0" w:space="0" w:color="auto"/>
        <w:bottom w:val="none" w:sz="0" w:space="0" w:color="auto"/>
        <w:right w:val="none" w:sz="0" w:space="0" w:color="auto"/>
      </w:divBdr>
    </w:div>
    <w:div w:id="486094569">
      <w:bodyDiv w:val="1"/>
      <w:marLeft w:val="0"/>
      <w:marRight w:val="0"/>
      <w:marTop w:val="0"/>
      <w:marBottom w:val="0"/>
      <w:divBdr>
        <w:top w:val="none" w:sz="0" w:space="0" w:color="auto"/>
        <w:left w:val="none" w:sz="0" w:space="0" w:color="auto"/>
        <w:bottom w:val="none" w:sz="0" w:space="0" w:color="auto"/>
        <w:right w:val="none" w:sz="0" w:space="0" w:color="auto"/>
      </w:divBdr>
    </w:div>
    <w:div w:id="579562348">
      <w:bodyDiv w:val="1"/>
      <w:marLeft w:val="0"/>
      <w:marRight w:val="0"/>
      <w:marTop w:val="0"/>
      <w:marBottom w:val="0"/>
      <w:divBdr>
        <w:top w:val="none" w:sz="0" w:space="0" w:color="auto"/>
        <w:left w:val="none" w:sz="0" w:space="0" w:color="auto"/>
        <w:bottom w:val="none" w:sz="0" w:space="0" w:color="auto"/>
        <w:right w:val="none" w:sz="0" w:space="0" w:color="auto"/>
      </w:divBdr>
    </w:div>
    <w:div w:id="734471283">
      <w:bodyDiv w:val="1"/>
      <w:marLeft w:val="0"/>
      <w:marRight w:val="0"/>
      <w:marTop w:val="0"/>
      <w:marBottom w:val="0"/>
      <w:divBdr>
        <w:top w:val="none" w:sz="0" w:space="0" w:color="auto"/>
        <w:left w:val="none" w:sz="0" w:space="0" w:color="auto"/>
        <w:bottom w:val="none" w:sz="0" w:space="0" w:color="auto"/>
        <w:right w:val="none" w:sz="0" w:space="0" w:color="auto"/>
      </w:divBdr>
    </w:div>
    <w:div w:id="855848431">
      <w:bodyDiv w:val="1"/>
      <w:marLeft w:val="0"/>
      <w:marRight w:val="0"/>
      <w:marTop w:val="0"/>
      <w:marBottom w:val="0"/>
      <w:divBdr>
        <w:top w:val="none" w:sz="0" w:space="0" w:color="auto"/>
        <w:left w:val="none" w:sz="0" w:space="0" w:color="auto"/>
        <w:bottom w:val="none" w:sz="0" w:space="0" w:color="auto"/>
        <w:right w:val="none" w:sz="0" w:space="0" w:color="auto"/>
      </w:divBdr>
    </w:div>
    <w:div w:id="1025860873">
      <w:bodyDiv w:val="1"/>
      <w:marLeft w:val="0"/>
      <w:marRight w:val="0"/>
      <w:marTop w:val="0"/>
      <w:marBottom w:val="0"/>
      <w:divBdr>
        <w:top w:val="none" w:sz="0" w:space="0" w:color="auto"/>
        <w:left w:val="none" w:sz="0" w:space="0" w:color="auto"/>
        <w:bottom w:val="none" w:sz="0" w:space="0" w:color="auto"/>
        <w:right w:val="none" w:sz="0" w:space="0" w:color="auto"/>
      </w:divBdr>
    </w:div>
    <w:div w:id="1244683828">
      <w:bodyDiv w:val="1"/>
      <w:marLeft w:val="0"/>
      <w:marRight w:val="0"/>
      <w:marTop w:val="0"/>
      <w:marBottom w:val="0"/>
      <w:divBdr>
        <w:top w:val="none" w:sz="0" w:space="0" w:color="auto"/>
        <w:left w:val="none" w:sz="0" w:space="0" w:color="auto"/>
        <w:bottom w:val="none" w:sz="0" w:space="0" w:color="auto"/>
        <w:right w:val="none" w:sz="0" w:space="0" w:color="auto"/>
      </w:divBdr>
    </w:div>
    <w:div w:id="1332829053">
      <w:bodyDiv w:val="1"/>
      <w:marLeft w:val="0"/>
      <w:marRight w:val="0"/>
      <w:marTop w:val="0"/>
      <w:marBottom w:val="0"/>
      <w:divBdr>
        <w:top w:val="none" w:sz="0" w:space="0" w:color="auto"/>
        <w:left w:val="none" w:sz="0" w:space="0" w:color="auto"/>
        <w:bottom w:val="none" w:sz="0" w:space="0" w:color="auto"/>
        <w:right w:val="none" w:sz="0" w:space="0" w:color="auto"/>
      </w:divBdr>
    </w:div>
    <w:div w:id="1631397979">
      <w:bodyDiv w:val="1"/>
      <w:marLeft w:val="0"/>
      <w:marRight w:val="0"/>
      <w:marTop w:val="0"/>
      <w:marBottom w:val="0"/>
      <w:divBdr>
        <w:top w:val="none" w:sz="0" w:space="0" w:color="auto"/>
        <w:left w:val="none" w:sz="0" w:space="0" w:color="auto"/>
        <w:bottom w:val="none" w:sz="0" w:space="0" w:color="auto"/>
        <w:right w:val="none" w:sz="0" w:space="0" w:color="auto"/>
      </w:divBdr>
    </w:div>
    <w:div w:id="1762021073">
      <w:bodyDiv w:val="1"/>
      <w:marLeft w:val="0"/>
      <w:marRight w:val="0"/>
      <w:marTop w:val="0"/>
      <w:marBottom w:val="0"/>
      <w:divBdr>
        <w:top w:val="none" w:sz="0" w:space="0" w:color="auto"/>
        <w:left w:val="none" w:sz="0" w:space="0" w:color="auto"/>
        <w:bottom w:val="none" w:sz="0" w:space="0" w:color="auto"/>
        <w:right w:val="none" w:sz="0" w:space="0" w:color="auto"/>
      </w:divBdr>
    </w:div>
    <w:div w:id="1851213403">
      <w:bodyDiv w:val="1"/>
      <w:marLeft w:val="0"/>
      <w:marRight w:val="0"/>
      <w:marTop w:val="0"/>
      <w:marBottom w:val="0"/>
      <w:divBdr>
        <w:top w:val="none" w:sz="0" w:space="0" w:color="auto"/>
        <w:left w:val="none" w:sz="0" w:space="0" w:color="auto"/>
        <w:bottom w:val="none" w:sz="0" w:space="0" w:color="auto"/>
        <w:right w:val="none" w:sz="0" w:space="0" w:color="auto"/>
      </w:divBdr>
    </w:div>
    <w:div w:id="191334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B3738-A4DF-440B-B2F5-95600FD11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7164</Words>
  <Characters>40838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dc:creator>
  <cp:keywords/>
  <dc:description/>
  <cp:lastModifiedBy>Mitchell</cp:lastModifiedBy>
  <cp:revision>2</cp:revision>
  <cp:lastPrinted>2017-06-14T14:50:00Z</cp:lastPrinted>
  <dcterms:created xsi:type="dcterms:W3CDTF">2017-06-16T00:54:00Z</dcterms:created>
  <dcterms:modified xsi:type="dcterms:W3CDTF">2017-06-16T00:54:00Z</dcterms:modified>
</cp:coreProperties>
</file>